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1864AD" w:rsidP="00181DA6">
      <w:pPr>
        <w:spacing w:after="0"/>
        <w:rPr>
          <w:rFonts w:ascii="Arial" w:hAnsi="Arial" w:cs="Arial"/>
          <w:b/>
          <w:bCs/>
          <w:sz w:val="24"/>
          <w:szCs w:val="24"/>
        </w:rPr>
      </w:pPr>
      <w:r>
        <w:rPr>
          <w:rFonts w:ascii="Arial" w:hAnsi="Arial" w:cs="Arial"/>
          <w:b/>
          <w:bCs/>
          <w:sz w:val="24"/>
          <w:szCs w:val="24"/>
        </w:rPr>
        <w:t>Combined Authority &amp; Skills and Employment Board</w:t>
      </w:r>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EA75BD">
            <w:pPr>
              <w:rPr>
                <w:rFonts w:ascii="Arial" w:hAnsi="Arial" w:cs="Arial"/>
                <w:sz w:val="24"/>
                <w:szCs w:val="24"/>
              </w:rPr>
            </w:pPr>
          </w:p>
          <w:p w:rsidR="000C7FFA" w:rsidRDefault="000C7FFA" w:rsidP="00EA75BD">
            <w:pPr>
              <w:rPr>
                <w:rFonts w:ascii="Arial" w:hAnsi="Arial" w:cs="Arial"/>
                <w:sz w:val="24"/>
                <w:szCs w:val="24"/>
              </w:rPr>
            </w:pPr>
            <w:r>
              <w:rPr>
                <w:rFonts w:ascii="Arial" w:hAnsi="Arial" w:cs="Arial"/>
                <w:sz w:val="24"/>
                <w:szCs w:val="24"/>
              </w:rPr>
              <w:t>The purpose of this paper is to update committee members on the Lancashire Combined Authority (LCA) developments and discussion</w:t>
            </w:r>
            <w:r w:rsidR="00AF266E">
              <w:rPr>
                <w:rFonts w:ascii="Arial" w:hAnsi="Arial" w:cs="Arial"/>
                <w:sz w:val="24"/>
                <w:szCs w:val="24"/>
              </w:rPr>
              <w:t>s</w:t>
            </w:r>
            <w:r>
              <w:rPr>
                <w:rFonts w:ascii="Arial" w:hAnsi="Arial" w:cs="Arial"/>
                <w:sz w:val="24"/>
                <w:szCs w:val="24"/>
              </w:rPr>
              <w:t xml:space="preserve"> </w:t>
            </w:r>
            <w:r w:rsidR="00AF266E">
              <w:rPr>
                <w:rFonts w:ascii="Arial" w:hAnsi="Arial" w:cs="Arial"/>
                <w:sz w:val="24"/>
                <w:szCs w:val="24"/>
              </w:rPr>
              <w:t>between</w:t>
            </w:r>
            <w:r>
              <w:rPr>
                <w:rFonts w:ascii="Arial" w:hAnsi="Arial" w:cs="Arial"/>
                <w:sz w:val="24"/>
                <w:szCs w:val="24"/>
              </w:rPr>
              <w:t xml:space="preserve"> the LEP and the LCA in relation to working together</w:t>
            </w:r>
            <w:r w:rsidR="00AF266E">
              <w:rPr>
                <w:rFonts w:ascii="Arial" w:hAnsi="Arial" w:cs="Arial"/>
                <w:sz w:val="24"/>
                <w:szCs w:val="24"/>
              </w:rPr>
              <w:t xml:space="preserve"> on the LCA themes, including Skills and Employment.</w:t>
            </w:r>
            <w:bookmarkStart w:id="0" w:name="_GoBack"/>
            <w:bookmarkEnd w:id="0"/>
          </w:p>
          <w:p w:rsidR="00AF266E" w:rsidRDefault="00AF266E" w:rsidP="00EA75BD">
            <w:pPr>
              <w:rPr>
                <w:rFonts w:ascii="Arial" w:hAnsi="Arial" w:cs="Arial"/>
                <w:sz w:val="24"/>
                <w:szCs w:val="24"/>
              </w:rPr>
            </w:pPr>
            <w:r>
              <w:rPr>
                <w:rFonts w:ascii="Arial" w:hAnsi="Arial" w:cs="Arial"/>
                <w:sz w:val="24"/>
                <w:szCs w:val="24"/>
              </w:rPr>
              <w:t>A paper went to the LEP Board on 5</w:t>
            </w:r>
            <w:r w:rsidRPr="00AF266E">
              <w:rPr>
                <w:rFonts w:ascii="Arial" w:hAnsi="Arial" w:cs="Arial"/>
                <w:sz w:val="24"/>
                <w:szCs w:val="24"/>
                <w:vertAlign w:val="superscript"/>
              </w:rPr>
              <w:t>th</w:t>
            </w:r>
            <w:r>
              <w:rPr>
                <w:rFonts w:ascii="Arial" w:hAnsi="Arial" w:cs="Arial"/>
                <w:sz w:val="24"/>
                <w:szCs w:val="24"/>
              </w:rPr>
              <w:t xml:space="preserve"> July 2016 outlining working principles and a schedule of intent for each of the existing LCA themes and existing allied strategies and committees.  The paper is provided for information for committee members.</w:t>
            </w:r>
          </w:p>
          <w:p w:rsidR="00AF266E" w:rsidRDefault="00B20252" w:rsidP="00EA75BD">
            <w:pPr>
              <w:rPr>
                <w:rFonts w:ascii="Arial" w:hAnsi="Arial" w:cs="Arial"/>
                <w:sz w:val="24"/>
                <w:szCs w:val="24"/>
              </w:rPr>
            </w:pPr>
            <w:r>
              <w:rPr>
                <w:rFonts w:ascii="Arial" w:hAnsi="Arial" w:cs="Arial"/>
                <w:sz w:val="24"/>
                <w:szCs w:val="24"/>
              </w:rPr>
              <w:t>Current thinking in regard to the</w:t>
            </w:r>
            <w:r w:rsidR="00AF266E">
              <w:rPr>
                <w:rFonts w:ascii="Arial" w:hAnsi="Arial" w:cs="Arial"/>
                <w:sz w:val="24"/>
                <w:szCs w:val="24"/>
              </w:rPr>
              <w:t xml:space="preserve"> Skills and Employment Board</w:t>
            </w:r>
            <w:r>
              <w:rPr>
                <w:rFonts w:ascii="Arial" w:hAnsi="Arial" w:cs="Arial"/>
                <w:sz w:val="24"/>
                <w:szCs w:val="24"/>
              </w:rPr>
              <w:t xml:space="preserve"> is as follows</w:t>
            </w:r>
            <w:r w:rsidR="00AF266E">
              <w:rPr>
                <w:rFonts w:ascii="Arial" w:hAnsi="Arial" w:cs="Arial"/>
                <w:sz w:val="24"/>
                <w:szCs w:val="24"/>
              </w:rPr>
              <w:t>: 'Potential for this to be a Joint Committee of the LEP and LCA with clear lines of accountability regarding the leadership and delivery of distinct elements of a shared strategy'.</w:t>
            </w:r>
          </w:p>
          <w:p w:rsidR="00B20252" w:rsidRDefault="00B20252" w:rsidP="00EA75BD">
            <w:pPr>
              <w:rPr>
                <w:rFonts w:ascii="Arial" w:hAnsi="Arial" w:cs="Arial"/>
                <w:sz w:val="24"/>
                <w:szCs w:val="24"/>
              </w:rPr>
            </w:pPr>
            <w:r>
              <w:rPr>
                <w:rFonts w:ascii="Arial" w:hAnsi="Arial" w:cs="Arial"/>
                <w:sz w:val="24"/>
                <w:szCs w:val="24"/>
              </w:rPr>
              <w:t>It is anticipated that the Lancashire Skills and Employment Strategic Framework will be adopted in the short-term as the strategy, and that this will influence the development of a LCA Lancashire Plan, which in turn will influence a refresh of the framework and a shared approach.</w:t>
            </w:r>
          </w:p>
          <w:p w:rsidR="00772E22" w:rsidRDefault="00772E22" w:rsidP="00EA75BD">
            <w:pPr>
              <w:rPr>
                <w:rFonts w:ascii="Arial" w:hAnsi="Arial" w:cs="Arial"/>
                <w:sz w:val="24"/>
                <w:szCs w:val="24"/>
              </w:rPr>
            </w:pPr>
            <w:r>
              <w:rPr>
                <w:rFonts w:ascii="Arial" w:hAnsi="Arial" w:cs="Arial"/>
                <w:sz w:val="24"/>
                <w:szCs w:val="24"/>
              </w:rPr>
              <w:t>A verbal update in regard to the LCA and development will also be provided by Dean Langton at the meeting.</w:t>
            </w:r>
          </w:p>
          <w:p w:rsidR="00181DA6" w:rsidRPr="00A55247" w:rsidRDefault="00181DA6" w:rsidP="00EA75BD">
            <w:pPr>
              <w:rPr>
                <w:rFonts w:ascii="Arial" w:hAnsi="Arial" w:cs="Arial"/>
                <w:b/>
                <w:sz w:val="24"/>
                <w:szCs w:val="24"/>
              </w:rPr>
            </w:pPr>
            <w:r>
              <w:rPr>
                <w:rFonts w:ascii="Arial" w:hAnsi="Arial" w:cs="Arial"/>
                <w:b/>
                <w:sz w:val="24"/>
                <w:szCs w:val="24"/>
              </w:rPr>
              <w:t xml:space="preserve">Recommendation </w:t>
            </w:r>
          </w:p>
          <w:p w:rsidR="00181DA6" w:rsidRDefault="00500991" w:rsidP="00EA75BD">
            <w:pPr>
              <w:rPr>
                <w:rFonts w:ascii="Arial" w:hAnsi="Arial" w:cs="Arial"/>
                <w:sz w:val="24"/>
                <w:szCs w:val="24"/>
              </w:rPr>
            </w:pPr>
            <w:r>
              <w:rPr>
                <w:rFonts w:ascii="Arial" w:hAnsi="Arial" w:cs="Arial"/>
                <w:sz w:val="24"/>
                <w:szCs w:val="24"/>
              </w:rPr>
              <w:t>The Board is</w:t>
            </w:r>
            <w:r w:rsidR="00772E22">
              <w:rPr>
                <w:rFonts w:ascii="Arial" w:hAnsi="Arial" w:cs="Arial"/>
                <w:sz w:val="24"/>
                <w:szCs w:val="24"/>
              </w:rPr>
              <w:t xml:space="preserve"> asked to note the update and the LEP Board paper.</w:t>
            </w:r>
          </w:p>
          <w:p w:rsidR="00772E22" w:rsidRPr="00A55247" w:rsidRDefault="00772E22" w:rsidP="00EA75BD">
            <w:pPr>
              <w:rPr>
                <w:rFonts w:ascii="Arial" w:hAnsi="Arial" w:cs="Arial"/>
                <w:sz w:val="24"/>
                <w:szCs w:val="24"/>
              </w:rPr>
            </w:pPr>
          </w:p>
        </w:tc>
      </w:tr>
    </w:tbl>
    <w:p w:rsidR="00181DA6" w:rsidRDefault="00181DA6" w:rsidP="000C7FFA">
      <w:pPr>
        <w:autoSpaceDE w:val="0"/>
        <w:autoSpaceDN w:val="0"/>
        <w:adjustRightInd w:val="0"/>
        <w:spacing w:after="0" w:line="240" w:lineRule="auto"/>
        <w:rPr>
          <w:rFonts w:ascii="Arial" w:hAnsi="Arial" w:cs="Arial"/>
          <w:b/>
          <w:sz w:val="24"/>
          <w:szCs w:val="24"/>
        </w:rPr>
      </w:pPr>
    </w:p>
    <w:p w:rsidR="00D75967" w:rsidRDefault="00D75967" w:rsidP="000C7FFA">
      <w:pPr>
        <w:autoSpaceDE w:val="0"/>
        <w:autoSpaceDN w:val="0"/>
        <w:adjustRightInd w:val="0"/>
        <w:spacing w:after="0" w:line="240" w:lineRule="auto"/>
        <w:rPr>
          <w:rFonts w:ascii="Arial" w:hAnsi="Arial" w:cs="Arial"/>
          <w:b/>
          <w:sz w:val="24"/>
          <w:szCs w:val="24"/>
        </w:rPr>
      </w:pPr>
    </w:p>
    <w:p w:rsidR="00D75967" w:rsidRPr="00500991" w:rsidRDefault="00D75967" w:rsidP="00500991">
      <w:pPr>
        <w:spacing w:after="0" w:line="240" w:lineRule="auto"/>
        <w:rPr>
          <w:rFonts w:ascii="Arial" w:hAnsi="Arial" w:cs="Arial"/>
          <w:b/>
          <w:bCs/>
          <w:sz w:val="24"/>
          <w:szCs w:val="24"/>
        </w:rPr>
      </w:pPr>
      <w:r w:rsidRPr="00500991">
        <w:rPr>
          <w:rFonts w:ascii="Arial" w:hAnsi="Arial" w:cs="Arial"/>
          <w:b/>
          <w:bCs/>
          <w:sz w:val="24"/>
          <w:szCs w:val="24"/>
        </w:rPr>
        <w:lastRenderedPageBreak/>
        <w:t>Lancashire Combined Authority Developments</w:t>
      </w:r>
    </w:p>
    <w:p w:rsidR="00D75967" w:rsidRPr="00500991" w:rsidRDefault="00D75967" w:rsidP="00500991">
      <w:pPr>
        <w:spacing w:after="0" w:line="240" w:lineRule="auto"/>
        <w:rPr>
          <w:rFonts w:ascii="Arial" w:hAnsi="Arial" w:cs="Arial"/>
          <w:sz w:val="24"/>
          <w:szCs w:val="24"/>
        </w:rPr>
      </w:pP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 xml:space="preserve">The purpose of this Briefing Note is to update LEP Board members on Lancashire Combined Authority (LCA) developments and the strengthening of working relationships with the LEP. </w:t>
      </w:r>
    </w:p>
    <w:p w:rsidR="00D75967" w:rsidRPr="00500991" w:rsidRDefault="00D75967" w:rsidP="00500991">
      <w:pPr>
        <w:spacing w:after="0" w:line="240" w:lineRule="auto"/>
        <w:rPr>
          <w:rFonts w:ascii="Arial" w:hAnsi="Arial" w:cs="Arial"/>
          <w:sz w:val="24"/>
          <w:szCs w:val="24"/>
        </w:rPr>
      </w:pP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The enclosed working documents (Appendices 'A' and 'B') are being developed between the shadow LCA and LEP, with positive discussions involving the LEP Chair and the Chair of the Growth Management Board. These documents aim to capture the intent of the shadow LCA and LEP to work together. Both Edwin and Graham will be able to update the Board on these emerging documents.</w:t>
      </w:r>
    </w:p>
    <w:p w:rsidR="00D75967" w:rsidRPr="00500991" w:rsidRDefault="00D75967" w:rsidP="00500991">
      <w:pPr>
        <w:spacing w:after="0" w:line="240" w:lineRule="auto"/>
        <w:rPr>
          <w:rFonts w:ascii="Arial" w:hAnsi="Arial" w:cs="Arial"/>
          <w:sz w:val="24"/>
          <w:szCs w:val="24"/>
        </w:rPr>
      </w:pP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 xml:space="preserve">Some early working principles include the need to adapt ways of working and not to seek change for change sake.  Clearly, we do not want to create two separate sets of strategies and policies, but look for jointly adopted approaches, with opportunities to refresh the LEP's Strategic Economic Plan in the Autumn. </w:t>
      </w:r>
    </w:p>
    <w:p w:rsidR="00D75967" w:rsidRPr="00500991" w:rsidRDefault="00D75967" w:rsidP="00500991">
      <w:pPr>
        <w:spacing w:after="0" w:line="240" w:lineRule="auto"/>
        <w:rPr>
          <w:rFonts w:ascii="Arial" w:hAnsi="Arial" w:cs="Arial"/>
          <w:sz w:val="24"/>
          <w:szCs w:val="24"/>
        </w:rPr>
      </w:pP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The key change for the LEP, in terms of accountability, is the transfer of TfL to the new LCA, which reflects the proposed scheme of governance, but there are no changes proposed in terms of LEP representation of the Board of TfL.</w:t>
      </w:r>
    </w:p>
    <w:p w:rsidR="00D75967" w:rsidRPr="00500991" w:rsidRDefault="00D75967" w:rsidP="00500991">
      <w:pPr>
        <w:spacing w:after="0" w:line="240" w:lineRule="auto"/>
        <w:rPr>
          <w:rFonts w:ascii="Arial" w:hAnsi="Arial" w:cs="Arial"/>
          <w:sz w:val="24"/>
          <w:szCs w:val="24"/>
        </w:rPr>
      </w:pP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Graham Cowley</w:t>
      </w:r>
    </w:p>
    <w:p w:rsidR="00D75967" w:rsidRPr="00500991" w:rsidRDefault="00D75967" w:rsidP="00500991">
      <w:pPr>
        <w:spacing w:after="0" w:line="240" w:lineRule="auto"/>
        <w:rPr>
          <w:rFonts w:ascii="Arial" w:hAnsi="Arial" w:cs="Arial"/>
          <w:sz w:val="24"/>
          <w:szCs w:val="24"/>
        </w:rPr>
      </w:pPr>
      <w:r w:rsidRPr="00500991">
        <w:rPr>
          <w:rFonts w:ascii="Arial" w:hAnsi="Arial" w:cs="Arial"/>
          <w:sz w:val="24"/>
          <w:szCs w:val="24"/>
        </w:rPr>
        <w:t>Chair of the LEP Growth Deal Management Board</w:t>
      </w:r>
    </w:p>
    <w:p w:rsidR="00D75967" w:rsidRDefault="00D75967" w:rsidP="00D75967"/>
    <w:p w:rsidR="00D75967" w:rsidRDefault="00D75967">
      <w:pPr>
        <w:rPr>
          <w:rFonts w:ascii="Arial" w:hAnsi="Arial" w:cs="Arial"/>
          <w:b/>
          <w:sz w:val="24"/>
          <w:szCs w:val="24"/>
        </w:rPr>
      </w:pPr>
      <w:r>
        <w:rPr>
          <w:rFonts w:ascii="Arial" w:hAnsi="Arial" w:cs="Arial"/>
          <w:b/>
          <w:sz w:val="24"/>
          <w:szCs w:val="24"/>
        </w:rPr>
        <w:br w:type="page"/>
      </w:r>
    </w:p>
    <w:p w:rsidR="00D75967" w:rsidRDefault="00D75967" w:rsidP="00D75967">
      <w:pPr>
        <w:rPr>
          <w:b/>
          <w:u w:val="single"/>
        </w:rPr>
        <w:sectPr w:rsidR="00D75967" w:rsidSect="00297392">
          <w:pgSz w:w="11906" w:h="16838"/>
          <w:pgMar w:top="1440" w:right="1440" w:bottom="1440" w:left="1440" w:header="708" w:footer="708" w:gutter="0"/>
          <w:cols w:space="708"/>
          <w:docGrid w:linePitch="360"/>
        </w:sectPr>
      </w:pPr>
    </w:p>
    <w:p w:rsidR="00D75967" w:rsidRDefault="00D75967" w:rsidP="00D75967">
      <w:pPr>
        <w:rPr>
          <w:b/>
          <w:u w:val="single"/>
        </w:rPr>
      </w:pPr>
      <w:r>
        <w:rPr>
          <w:b/>
          <w:u w:val="single"/>
        </w:rPr>
        <w:lastRenderedPageBreak/>
        <w:t>Appendix A</w:t>
      </w:r>
    </w:p>
    <w:p w:rsidR="00D75967" w:rsidRPr="00540FD9" w:rsidRDefault="00D75967" w:rsidP="00D75967">
      <w:pPr>
        <w:rPr>
          <w:b/>
          <w:u w:val="single"/>
        </w:rPr>
      </w:pPr>
      <w:r w:rsidRPr="00540FD9">
        <w:rPr>
          <w:b/>
          <w:u w:val="single"/>
        </w:rPr>
        <w:t>CA and</w:t>
      </w:r>
      <w:r>
        <w:rPr>
          <w:b/>
          <w:u w:val="single"/>
        </w:rPr>
        <w:t xml:space="preserve"> LEP – Schedule of Intent – July</w:t>
      </w:r>
      <w:r w:rsidRPr="00540FD9">
        <w:rPr>
          <w:b/>
          <w:u w:val="single"/>
        </w:rPr>
        <w:t xml:space="preserve"> 16</w:t>
      </w:r>
    </w:p>
    <w:p w:rsidR="00D75967" w:rsidRDefault="00D75967" w:rsidP="00D75967"/>
    <w:tbl>
      <w:tblPr>
        <w:tblStyle w:val="TableGrid"/>
        <w:tblW w:w="0" w:type="auto"/>
        <w:tblLayout w:type="fixed"/>
        <w:tblLook w:val="00A0" w:firstRow="1" w:lastRow="0" w:firstColumn="1" w:lastColumn="0" w:noHBand="0" w:noVBand="0"/>
      </w:tblPr>
      <w:tblGrid>
        <w:gridCol w:w="1668"/>
        <w:gridCol w:w="2693"/>
        <w:gridCol w:w="3118"/>
        <w:gridCol w:w="3402"/>
        <w:gridCol w:w="3289"/>
      </w:tblGrid>
      <w:tr w:rsidR="00D75967" w:rsidRPr="00540FD9" w:rsidTr="00377725">
        <w:trPr>
          <w:tblHeader/>
        </w:trPr>
        <w:tc>
          <w:tcPr>
            <w:tcW w:w="1668" w:type="dxa"/>
          </w:tcPr>
          <w:p w:rsidR="00D75967" w:rsidRPr="005A3C8F" w:rsidRDefault="00D75967" w:rsidP="00377725">
            <w:pPr>
              <w:rPr>
                <w:b/>
              </w:rPr>
            </w:pPr>
            <w:r w:rsidRPr="005A3C8F">
              <w:rPr>
                <w:b/>
              </w:rPr>
              <w:t>CA Theme</w:t>
            </w:r>
          </w:p>
        </w:tc>
        <w:tc>
          <w:tcPr>
            <w:tcW w:w="2693" w:type="dxa"/>
          </w:tcPr>
          <w:p w:rsidR="00D75967" w:rsidRPr="00540FD9" w:rsidRDefault="00D75967" w:rsidP="00377725">
            <w:pPr>
              <w:rPr>
                <w:b/>
              </w:rPr>
            </w:pPr>
            <w:r w:rsidRPr="00540FD9">
              <w:rPr>
                <w:b/>
              </w:rPr>
              <w:t>Policy</w:t>
            </w:r>
          </w:p>
        </w:tc>
        <w:tc>
          <w:tcPr>
            <w:tcW w:w="3118" w:type="dxa"/>
          </w:tcPr>
          <w:p w:rsidR="00D75967" w:rsidRPr="00540FD9" w:rsidRDefault="00D75967" w:rsidP="00377725">
            <w:pPr>
              <w:rPr>
                <w:b/>
              </w:rPr>
            </w:pPr>
            <w:r w:rsidRPr="00540FD9">
              <w:rPr>
                <w:b/>
              </w:rPr>
              <w:t>Strategy</w:t>
            </w:r>
          </w:p>
        </w:tc>
        <w:tc>
          <w:tcPr>
            <w:tcW w:w="3402" w:type="dxa"/>
          </w:tcPr>
          <w:p w:rsidR="00D75967" w:rsidRPr="00540FD9" w:rsidRDefault="00D75967" w:rsidP="00377725">
            <w:pPr>
              <w:rPr>
                <w:b/>
              </w:rPr>
            </w:pPr>
            <w:r w:rsidRPr="00540FD9">
              <w:rPr>
                <w:b/>
              </w:rPr>
              <w:t>Implementation</w:t>
            </w:r>
          </w:p>
        </w:tc>
        <w:tc>
          <w:tcPr>
            <w:tcW w:w="3289" w:type="dxa"/>
          </w:tcPr>
          <w:p w:rsidR="00D75967" w:rsidRPr="00540FD9" w:rsidRDefault="00D75967" w:rsidP="00377725">
            <w:pPr>
              <w:rPr>
                <w:b/>
              </w:rPr>
            </w:pPr>
            <w:r>
              <w:rPr>
                <w:b/>
              </w:rPr>
              <w:t>Transition issues</w:t>
            </w:r>
          </w:p>
        </w:tc>
      </w:tr>
      <w:tr w:rsidR="00D75967" w:rsidRPr="005A3C8F" w:rsidTr="00377725">
        <w:tc>
          <w:tcPr>
            <w:tcW w:w="1668" w:type="dxa"/>
          </w:tcPr>
          <w:p w:rsidR="00D75967" w:rsidRPr="005A3C8F" w:rsidRDefault="00D75967" w:rsidP="00377725">
            <w:pPr>
              <w:rPr>
                <w:b/>
              </w:rPr>
            </w:pPr>
            <w:r w:rsidRPr="005A3C8F">
              <w:rPr>
                <w:b/>
              </w:rPr>
              <w:t>Housing</w:t>
            </w:r>
          </w:p>
          <w:p w:rsidR="00D75967" w:rsidRPr="003437EF" w:rsidRDefault="00D75967" w:rsidP="00377725"/>
          <w:p w:rsidR="00D75967" w:rsidRPr="003437EF" w:rsidRDefault="00D75967" w:rsidP="00377725"/>
          <w:p w:rsidR="00D75967" w:rsidRPr="003437EF" w:rsidRDefault="00D75967" w:rsidP="00377725"/>
          <w:p w:rsidR="00D75967" w:rsidRPr="003437EF" w:rsidRDefault="00D75967" w:rsidP="00377725"/>
          <w:p w:rsidR="00D75967" w:rsidRPr="003437EF" w:rsidRDefault="00D75967" w:rsidP="00377725"/>
          <w:p w:rsidR="00D75967" w:rsidRPr="003437EF" w:rsidRDefault="00D75967" w:rsidP="00377725">
            <w:pPr>
              <w:jc w:val="center"/>
            </w:pPr>
          </w:p>
        </w:tc>
        <w:tc>
          <w:tcPr>
            <w:tcW w:w="2693" w:type="dxa"/>
          </w:tcPr>
          <w:p w:rsidR="00D75967" w:rsidRDefault="00D75967" w:rsidP="00377725">
            <w:pPr>
              <w:rPr>
                <w:sz w:val="20"/>
              </w:rPr>
            </w:pPr>
          </w:p>
          <w:p w:rsidR="00D75967" w:rsidRPr="005A3C8F" w:rsidRDefault="00D75967" w:rsidP="00377725">
            <w:pPr>
              <w:rPr>
                <w:sz w:val="20"/>
              </w:rPr>
            </w:pPr>
            <w:r w:rsidRPr="005A3C8F">
              <w:rPr>
                <w:sz w:val="20"/>
              </w:rPr>
              <w:t>CA: formulates and sets policy as part of wider Lancashire Plan</w:t>
            </w:r>
          </w:p>
          <w:p w:rsidR="00D75967" w:rsidRPr="005A3C8F" w:rsidRDefault="00D75967" w:rsidP="00377725">
            <w:pPr>
              <w:rPr>
                <w:sz w:val="20"/>
              </w:rPr>
            </w:pPr>
          </w:p>
          <w:p w:rsidR="00D75967" w:rsidRPr="005A3C8F" w:rsidRDefault="00D75967" w:rsidP="00377725">
            <w:pPr>
              <w:rPr>
                <w:sz w:val="20"/>
              </w:rPr>
            </w:pPr>
          </w:p>
          <w:p w:rsidR="00D75967" w:rsidRDefault="00D75967" w:rsidP="00377725">
            <w:pPr>
              <w:rPr>
                <w:sz w:val="20"/>
              </w:rPr>
            </w:pPr>
            <w:r w:rsidRPr="005A3C8F">
              <w:rPr>
                <w:sz w:val="20"/>
              </w:rPr>
              <w:t>LEP: input to policy formulation with focus on growth and productivity drivers</w:t>
            </w:r>
          </w:p>
          <w:p w:rsidR="00D75967" w:rsidRDefault="00D75967" w:rsidP="00377725">
            <w:pPr>
              <w:rPr>
                <w:sz w:val="20"/>
              </w:rPr>
            </w:pPr>
          </w:p>
          <w:p w:rsidR="00D75967" w:rsidRPr="00E01AD3" w:rsidRDefault="00D75967" w:rsidP="00377725">
            <w:pPr>
              <w:rPr>
                <w:b/>
                <w:i/>
                <w:sz w:val="20"/>
              </w:rPr>
            </w:pPr>
          </w:p>
        </w:tc>
        <w:tc>
          <w:tcPr>
            <w:tcW w:w="3118" w:type="dxa"/>
          </w:tcPr>
          <w:p w:rsidR="00D75967" w:rsidRDefault="00D75967" w:rsidP="00377725">
            <w:pPr>
              <w:rPr>
                <w:sz w:val="20"/>
              </w:rPr>
            </w:pPr>
          </w:p>
          <w:p w:rsidR="00D75967" w:rsidRPr="005A3C8F" w:rsidRDefault="00D75967" w:rsidP="00377725">
            <w:pPr>
              <w:rPr>
                <w:sz w:val="20"/>
              </w:rPr>
            </w:pPr>
            <w:r w:rsidRPr="005A3C8F">
              <w:rPr>
                <w:sz w:val="20"/>
              </w:rPr>
              <w:t>CA: defines strategy with input from LEP</w:t>
            </w: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r w:rsidRPr="005A3C8F">
              <w:rPr>
                <w:sz w:val="20"/>
              </w:rPr>
              <w:t>LEP: input from LEP reflecting prosperity strategy (SEP2) and market knowledge</w:t>
            </w:r>
          </w:p>
          <w:p w:rsidR="00D75967" w:rsidRPr="005A3C8F" w:rsidRDefault="00D75967" w:rsidP="00377725">
            <w:pPr>
              <w:rPr>
                <w:sz w:val="20"/>
              </w:rPr>
            </w:pPr>
          </w:p>
        </w:tc>
        <w:tc>
          <w:tcPr>
            <w:tcW w:w="3402" w:type="dxa"/>
          </w:tcPr>
          <w:p w:rsidR="00D75967" w:rsidRDefault="00D75967" w:rsidP="00377725">
            <w:pPr>
              <w:rPr>
                <w:sz w:val="20"/>
              </w:rPr>
            </w:pPr>
          </w:p>
          <w:p w:rsidR="00D75967" w:rsidRPr="005A3C8F" w:rsidRDefault="00D75967" w:rsidP="00377725">
            <w:pPr>
              <w:rPr>
                <w:sz w:val="20"/>
              </w:rPr>
            </w:pPr>
            <w:r w:rsidRPr="005A3C8F">
              <w:rPr>
                <w:sz w:val="20"/>
              </w:rPr>
              <w:t>CA: directs, manages and monitors programmes of investment where funding is via CA, liaising with LEP</w:t>
            </w:r>
          </w:p>
          <w:p w:rsidR="00D75967" w:rsidRPr="005A3C8F" w:rsidRDefault="00D75967" w:rsidP="00377725">
            <w:pPr>
              <w:rPr>
                <w:sz w:val="20"/>
              </w:rPr>
            </w:pPr>
          </w:p>
          <w:p w:rsidR="00D75967" w:rsidRPr="005A3C8F" w:rsidRDefault="00D75967" w:rsidP="00377725">
            <w:pPr>
              <w:rPr>
                <w:sz w:val="20"/>
              </w:rPr>
            </w:pPr>
            <w:r w:rsidRPr="005A3C8F">
              <w:rPr>
                <w:sz w:val="20"/>
              </w:rPr>
              <w:t>LEP: directs, manages and mon</w:t>
            </w:r>
            <w:r>
              <w:rPr>
                <w:sz w:val="20"/>
              </w:rPr>
              <w:t xml:space="preserve">itors programmes of investment </w:t>
            </w:r>
            <w:r w:rsidRPr="005A3C8F">
              <w:rPr>
                <w:sz w:val="20"/>
              </w:rPr>
              <w:t>where funding is via LEP, liaising with CA</w:t>
            </w:r>
          </w:p>
          <w:p w:rsidR="00D75967" w:rsidRPr="005A3C8F" w:rsidRDefault="00D75967" w:rsidP="00377725">
            <w:pPr>
              <w:rPr>
                <w:sz w:val="20"/>
              </w:rPr>
            </w:pPr>
          </w:p>
          <w:p w:rsidR="00D75967" w:rsidRPr="005A3C8F" w:rsidRDefault="00D75967" w:rsidP="00377725">
            <w:pPr>
              <w:rPr>
                <w:sz w:val="20"/>
              </w:rPr>
            </w:pPr>
            <w:r w:rsidRPr="005A3C8F">
              <w:rPr>
                <w:sz w:val="20"/>
              </w:rPr>
              <w:t>Note: Opportunities to strengthen joint relationships with HCA and public/private providers/developers</w:t>
            </w:r>
          </w:p>
          <w:p w:rsidR="00D75967" w:rsidRPr="005A3C8F" w:rsidRDefault="00D75967" w:rsidP="00377725">
            <w:pPr>
              <w:rPr>
                <w:sz w:val="20"/>
              </w:rPr>
            </w:pPr>
            <w:r w:rsidRPr="005A3C8F">
              <w:rPr>
                <w:sz w:val="20"/>
              </w:rPr>
              <w:t xml:space="preserve"> </w:t>
            </w:r>
          </w:p>
        </w:tc>
        <w:tc>
          <w:tcPr>
            <w:tcW w:w="3289" w:type="dxa"/>
          </w:tcPr>
          <w:p w:rsidR="00D75967" w:rsidRDefault="00D75967" w:rsidP="00377725">
            <w:pPr>
              <w:rPr>
                <w:sz w:val="20"/>
              </w:rPr>
            </w:pPr>
          </w:p>
          <w:p w:rsidR="00D75967" w:rsidRPr="005A3C8F" w:rsidRDefault="00D75967" w:rsidP="00377725">
            <w:pPr>
              <w:rPr>
                <w:sz w:val="20"/>
              </w:rPr>
            </w:pPr>
          </w:p>
        </w:tc>
      </w:tr>
      <w:tr w:rsidR="00D75967" w:rsidRPr="005A3C8F" w:rsidTr="00377725">
        <w:tc>
          <w:tcPr>
            <w:tcW w:w="1668" w:type="dxa"/>
          </w:tcPr>
          <w:p w:rsidR="00D75967" w:rsidRPr="005A3C8F" w:rsidRDefault="00D75967" w:rsidP="00377725">
            <w:pPr>
              <w:rPr>
                <w:b/>
              </w:rPr>
            </w:pPr>
            <w:r w:rsidRPr="005A3C8F">
              <w:rPr>
                <w:b/>
              </w:rPr>
              <w:t>Prosperity</w:t>
            </w:r>
          </w:p>
        </w:tc>
        <w:tc>
          <w:tcPr>
            <w:tcW w:w="2693" w:type="dxa"/>
          </w:tcPr>
          <w:p w:rsidR="00D75967" w:rsidRDefault="00D75967" w:rsidP="00377725">
            <w:pPr>
              <w:rPr>
                <w:sz w:val="20"/>
              </w:rPr>
            </w:pPr>
          </w:p>
          <w:p w:rsidR="00D75967" w:rsidRPr="005A3C8F" w:rsidRDefault="00D75967" w:rsidP="00377725">
            <w:pPr>
              <w:rPr>
                <w:sz w:val="20"/>
              </w:rPr>
            </w:pPr>
            <w:r w:rsidRPr="005A3C8F">
              <w:rPr>
                <w:sz w:val="20"/>
              </w:rPr>
              <w:t>CA: sets policy as part of wider Lancashire Plan</w:t>
            </w: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r w:rsidRPr="005A3C8F">
              <w:rPr>
                <w:sz w:val="20"/>
              </w:rPr>
              <w:t>LEP: defines realistic aspiration and formulates policy with focus on growth and productivity drivers</w:t>
            </w:r>
          </w:p>
        </w:tc>
        <w:tc>
          <w:tcPr>
            <w:tcW w:w="3118" w:type="dxa"/>
          </w:tcPr>
          <w:p w:rsidR="00D75967" w:rsidRDefault="00D75967" w:rsidP="00377725">
            <w:pPr>
              <w:rPr>
                <w:sz w:val="20"/>
              </w:rPr>
            </w:pPr>
          </w:p>
          <w:p w:rsidR="00D75967" w:rsidRPr="005A3C8F" w:rsidRDefault="00D75967" w:rsidP="00377725">
            <w:pPr>
              <w:rPr>
                <w:sz w:val="20"/>
              </w:rPr>
            </w:pPr>
            <w:r w:rsidRPr="005A3C8F">
              <w:rPr>
                <w:sz w:val="20"/>
              </w:rPr>
              <w:t>CA: signs-off "prosperity" strategies and growth bids; Leads on CA (and Mayoral) bids for funding with input from LEP</w:t>
            </w:r>
          </w:p>
          <w:p w:rsidR="00D75967" w:rsidRPr="005A3C8F" w:rsidRDefault="00D75967" w:rsidP="00377725">
            <w:pPr>
              <w:rPr>
                <w:sz w:val="20"/>
              </w:rPr>
            </w:pPr>
          </w:p>
          <w:p w:rsidR="00D75967" w:rsidRPr="005A3C8F" w:rsidRDefault="00D75967" w:rsidP="00377725">
            <w:pPr>
              <w:rPr>
                <w:sz w:val="20"/>
              </w:rPr>
            </w:pPr>
            <w:r w:rsidRPr="005A3C8F">
              <w:rPr>
                <w:sz w:val="20"/>
              </w:rPr>
              <w:t>LEP: leads on prosperity strategy development (SEP2, including investment strategy), with input from local authorities; leads on LEP bids for investment/funding</w:t>
            </w: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p w:rsidR="00D75967" w:rsidRPr="005A3C8F" w:rsidRDefault="00D75967" w:rsidP="00377725">
            <w:pPr>
              <w:rPr>
                <w:sz w:val="20"/>
              </w:rPr>
            </w:pPr>
          </w:p>
        </w:tc>
        <w:tc>
          <w:tcPr>
            <w:tcW w:w="3402" w:type="dxa"/>
          </w:tcPr>
          <w:p w:rsidR="00D75967" w:rsidRDefault="00D75967" w:rsidP="00377725">
            <w:pPr>
              <w:rPr>
                <w:sz w:val="20"/>
              </w:rPr>
            </w:pPr>
          </w:p>
          <w:p w:rsidR="00D75967" w:rsidRPr="005A3C8F" w:rsidRDefault="00D75967" w:rsidP="00377725">
            <w:pPr>
              <w:rPr>
                <w:sz w:val="20"/>
              </w:rPr>
            </w:pPr>
            <w:r w:rsidRPr="005A3C8F">
              <w:rPr>
                <w:sz w:val="20"/>
              </w:rPr>
              <w:t>CA: directs, manages and monitors programmes of investment where funding is via CA, liaising with LEP</w:t>
            </w:r>
          </w:p>
          <w:p w:rsidR="00D75967" w:rsidRPr="005A3C8F" w:rsidRDefault="00D75967" w:rsidP="00377725">
            <w:pPr>
              <w:rPr>
                <w:sz w:val="20"/>
              </w:rPr>
            </w:pPr>
          </w:p>
          <w:p w:rsidR="00D75967" w:rsidRPr="005A3C8F" w:rsidRDefault="00D75967" w:rsidP="00377725">
            <w:pPr>
              <w:rPr>
                <w:sz w:val="20"/>
              </w:rPr>
            </w:pPr>
            <w:r w:rsidRPr="005A3C8F">
              <w:rPr>
                <w:sz w:val="20"/>
              </w:rPr>
              <w:t>LEP: directs, manages and monitors programmes of investment where funding is via LEP, liaising with CA</w:t>
            </w:r>
          </w:p>
          <w:p w:rsidR="00D75967" w:rsidRPr="005A3C8F" w:rsidRDefault="00D75967" w:rsidP="00377725">
            <w:pPr>
              <w:rPr>
                <w:sz w:val="20"/>
              </w:rPr>
            </w:pPr>
          </w:p>
          <w:p w:rsidR="00D75967" w:rsidRPr="005A3C8F" w:rsidRDefault="00D75967" w:rsidP="00377725">
            <w:pPr>
              <w:rPr>
                <w:sz w:val="20"/>
              </w:rPr>
            </w:pPr>
            <w:r w:rsidRPr="005A3C8F">
              <w:rPr>
                <w:sz w:val="20"/>
              </w:rPr>
              <w:t>Opportunity/requirement for shared scrutiny and performance management arrangements</w:t>
            </w:r>
          </w:p>
          <w:p w:rsidR="00D75967" w:rsidRPr="005A3C8F" w:rsidRDefault="00D75967" w:rsidP="00377725">
            <w:pPr>
              <w:rPr>
                <w:sz w:val="20"/>
              </w:rPr>
            </w:pPr>
          </w:p>
          <w:p w:rsidR="00D75967" w:rsidRPr="005A3C8F" w:rsidRDefault="00D75967" w:rsidP="00377725">
            <w:pPr>
              <w:rPr>
                <w:sz w:val="20"/>
              </w:rPr>
            </w:pPr>
            <w:r w:rsidRPr="005A3C8F">
              <w:rPr>
                <w:sz w:val="20"/>
              </w:rPr>
              <w:t xml:space="preserve">Note: potential for joint teams to strengthen capacity and capability </w:t>
            </w:r>
          </w:p>
        </w:tc>
        <w:tc>
          <w:tcPr>
            <w:tcW w:w="3289" w:type="dxa"/>
          </w:tcPr>
          <w:p w:rsidR="00D75967" w:rsidRDefault="00D75967" w:rsidP="00377725">
            <w:pPr>
              <w:rPr>
                <w:sz w:val="20"/>
              </w:rPr>
            </w:pPr>
          </w:p>
          <w:p w:rsidR="00D75967" w:rsidRDefault="00D75967" w:rsidP="00377725">
            <w:pPr>
              <w:rPr>
                <w:sz w:val="20"/>
              </w:rPr>
            </w:pPr>
            <w:r>
              <w:rPr>
                <w:sz w:val="20"/>
              </w:rPr>
              <w:t>The LSEP is due for review in the autumn 2016.</w:t>
            </w:r>
          </w:p>
          <w:p w:rsidR="00D75967" w:rsidRDefault="00D75967" w:rsidP="00377725">
            <w:pPr>
              <w:rPr>
                <w:sz w:val="20"/>
              </w:rPr>
            </w:pPr>
          </w:p>
          <w:p w:rsidR="00D75967" w:rsidRDefault="00D75967" w:rsidP="00377725">
            <w:pPr>
              <w:rPr>
                <w:sz w:val="20"/>
              </w:rPr>
            </w:pPr>
            <w:r>
              <w:rPr>
                <w:sz w:val="20"/>
              </w:rPr>
              <w:t>The review period will be an opportunity for the LSEP to be jointly developed and owned.</w:t>
            </w:r>
          </w:p>
          <w:p w:rsidR="00D75967" w:rsidRDefault="00D75967" w:rsidP="00377725">
            <w:pPr>
              <w:rPr>
                <w:sz w:val="20"/>
              </w:rPr>
            </w:pPr>
          </w:p>
          <w:p w:rsidR="00D75967" w:rsidRPr="005A3C8F" w:rsidRDefault="00D75967" w:rsidP="00377725">
            <w:pPr>
              <w:rPr>
                <w:sz w:val="20"/>
              </w:rPr>
            </w:pPr>
            <w:r>
              <w:rPr>
                <w:sz w:val="20"/>
              </w:rPr>
              <w:t>Accountability for funds is a matter of fact. |In practice schemes are likely to have multiple funding streams and therefore the management and monitoring will need to be decided on a case by case basis.</w:t>
            </w:r>
          </w:p>
        </w:tc>
      </w:tr>
      <w:tr w:rsidR="00D75967" w:rsidRPr="005A3C8F" w:rsidTr="00377725">
        <w:tc>
          <w:tcPr>
            <w:tcW w:w="1668" w:type="dxa"/>
          </w:tcPr>
          <w:p w:rsidR="00D75967" w:rsidRPr="005A3C8F" w:rsidRDefault="00D75967" w:rsidP="00377725">
            <w:pPr>
              <w:rPr>
                <w:b/>
              </w:rPr>
            </w:pPr>
            <w:r w:rsidRPr="005A3C8F">
              <w:rPr>
                <w:b/>
              </w:rPr>
              <w:lastRenderedPageBreak/>
              <w:t>Skills (and Employment)</w:t>
            </w:r>
          </w:p>
        </w:tc>
        <w:tc>
          <w:tcPr>
            <w:tcW w:w="2693" w:type="dxa"/>
          </w:tcPr>
          <w:p w:rsidR="00D75967" w:rsidRPr="005A3C8F" w:rsidRDefault="00D75967" w:rsidP="00377725">
            <w:pPr>
              <w:rPr>
                <w:sz w:val="20"/>
              </w:rPr>
            </w:pPr>
            <w:r w:rsidRPr="005A3C8F">
              <w:rPr>
                <w:sz w:val="20"/>
              </w:rPr>
              <w:t>CA: formulates and sets policy, in consultation with LEP, as part of the wider Lancashire Plan</w:t>
            </w:r>
          </w:p>
          <w:p w:rsidR="00D75967" w:rsidRPr="005A3C8F" w:rsidRDefault="00D75967" w:rsidP="00377725">
            <w:pPr>
              <w:rPr>
                <w:sz w:val="20"/>
              </w:rPr>
            </w:pPr>
          </w:p>
          <w:p w:rsidR="00D75967" w:rsidRPr="005A3C8F" w:rsidRDefault="00D75967" w:rsidP="00377725">
            <w:pPr>
              <w:rPr>
                <w:sz w:val="20"/>
              </w:rPr>
            </w:pPr>
            <w:r w:rsidRPr="005A3C8F">
              <w:rPr>
                <w:sz w:val="20"/>
              </w:rPr>
              <w:t>LEP: inputs to policy formulation</w:t>
            </w:r>
          </w:p>
        </w:tc>
        <w:tc>
          <w:tcPr>
            <w:tcW w:w="3118" w:type="dxa"/>
          </w:tcPr>
          <w:p w:rsidR="00D75967" w:rsidRPr="005A3C8F" w:rsidRDefault="00D75967" w:rsidP="00377725">
            <w:pPr>
              <w:rPr>
                <w:sz w:val="20"/>
              </w:rPr>
            </w:pPr>
            <w:r>
              <w:rPr>
                <w:sz w:val="20"/>
                <w:szCs w:val="20"/>
              </w:rPr>
              <w:t xml:space="preserve">The CA and LEP will work together to hone the </w:t>
            </w:r>
            <w:r w:rsidRPr="008310E0">
              <w:rPr>
                <w:sz w:val="20"/>
                <w:szCs w:val="20"/>
              </w:rPr>
              <w:t xml:space="preserve">Existing Skills and Employment Strategy </w:t>
            </w:r>
            <w:r>
              <w:rPr>
                <w:sz w:val="20"/>
                <w:szCs w:val="20"/>
              </w:rPr>
              <w:t xml:space="preserve">and identify priorities for </w:t>
            </w:r>
            <w:r w:rsidRPr="008310E0">
              <w:rPr>
                <w:sz w:val="20"/>
                <w:szCs w:val="20"/>
              </w:rPr>
              <w:t xml:space="preserve">intervention </w:t>
            </w:r>
            <w:r>
              <w:rPr>
                <w:sz w:val="20"/>
                <w:szCs w:val="20"/>
              </w:rPr>
              <w:t>which the</w:t>
            </w:r>
            <w:r w:rsidRPr="008310E0">
              <w:rPr>
                <w:sz w:val="20"/>
                <w:szCs w:val="20"/>
              </w:rPr>
              <w:t xml:space="preserve"> </w:t>
            </w:r>
            <w:r>
              <w:rPr>
                <w:sz w:val="20"/>
                <w:szCs w:val="20"/>
              </w:rPr>
              <w:t xml:space="preserve">deliver the </w:t>
            </w:r>
            <w:r w:rsidRPr="008310E0">
              <w:rPr>
                <w:sz w:val="20"/>
                <w:szCs w:val="20"/>
              </w:rPr>
              <w:t>most value.</w:t>
            </w:r>
            <w:r>
              <w:rPr>
                <w:sz w:val="20"/>
                <w:szCs w:val="20"/>
              </w:rPr>
              <w:t xml:space="preserve"> This will also include early years,</w:t>
            </w:r>
            <w:r w:rsidRPr="00D05FAD">
              <w:rPr>
                <w:sz w:val="20"/>
              </w:rPr>
              <w:t xml:space="preserve"> </w:t>
            </w:r>
            <w:r>
              <w:rPr>
                <w:sz w:val="20"/>
              </w:rPr>
              <w:t xml:space="preserve">primary and secondary education where there are gaps in performance and consideration of wider interventions such as the ‘work programme’. </w:t>
            </w:r>
          </w:p>
          <w:p w:rsidR="00D75967" w:rsidRDefault="00D75967" w:rsidP="00377725">
            <w:pPr>
              <w:pStyle w:val="PlainText"/>
              <w:rPr>
                <w:sz w:val="20"/>
                <w:szCs w:val="20"/>
              </w:rPr>
            </w:pPr>
          </w:p>
          <w:p w:rsidR="00D75967" w:rsidRDefault="00D75967" w:rsidP="00377725">
            <w:pPr>
              <w:pStyle w:val="PlainText"/>
              <w:rPr>
                <w:sz w:val="20"/>
                <w:szCs w:val="20"/>
              </w:rPr>
            </w:pPr>
            <w:r>
              <w:rPr>
                <w:sz w:val="20"/>
                <w:szCs w:val="20"/>
              </w:rPr>
              <w:t>The shared</w:t>
            </w:r>
            <w:r w:rsidRPr="008310E0">
              <w:rPr>
                <w:sz w:val="20"/>
                <w:szCs w:val="20"/>
              </w:rPr>
              <w:t xml:space="preserve"> </w:t>
            </w:r>
            <w:r>
              <w:rPr>
                <w:sz w:val="20"/>
                <w:szCs w:val="20"/>
              </w:rPr>
              <w:t xml:space="preserve">aim of the </w:t>
            </w:r>
            <w:r w:rsidRPr="008310E0">
              <w:rPr>
                <w:sz w:val="20"/>
                <w:szCs w:val="20"/>
              </w:rPr>
              <w:t>CA/LEP</w:t>
            </w:r>
            <w:r>
              <w:rPr>
                <w:sz w:val="20"/>
                <w:szCs w:val="20"/>
              </w:rPr>
              <w:t xml:space="preserve"> will be to establish a</w:t>
            </w:r>
            <w:r w:rsidRPr="008310E0">
              <w:rPr>
                <w:sz w:val="20"/>
                <w:szCs w:val="20"/>
              </w:rPr>
              <w:t xml:space="preserve"> Skills and Employment Board reconstituting the existing Board to bring wider representation from business, community, and provide</w:t>
            </w:r>
            <w:r>
              <w:rPr>
                <w:sz w:val="20"/>
                <w:szCs w:val="20"/>
              </w:rPr>
              <w:t>r</w:t>
            </w:r>
            <w:r w:rsidRPr="008310E0">
              <w:rPr>
                <w:sz w:val="20"/>
                <w:szCs w:val="20"/>
              </w:rPr>
              <w:t xml:space="preserve">s at all levels. </w:t>
            </w:r>
          </w:p>
          <w:p w:rsidR="00D75967" w:rsidRPr="008310E0" w:rsidRDefault="00D75967" w:rsidP="00377725">
            <w:pPr>
              <w:pStyle w:val="PlainText"/>
              <w:rPr>
                <w:sz w:val="20"/>
                <w:szCs w:val="20"/>
              </w:rPr>
            </w:pPr>
          </w:p>
          <w:p w:rsidR="00D75967" w:rsidRDefault="00D75967" w:rsidP="00377725">
            <w:pPr>
              <w:rPr>
                <w:sz w:val="20"/>
              </w:rPr>
            </w:pPr>
          </w:p>
          <w:p w:rsidR="00D75967" w:rsidRPr="005A3C8F" w:rsidRDefault="00D75967" w:rsidP="00377725">
            <w:pPr>
              <w:rPr>
                <w:sz w:val="20"/>
              </w:rPr>
            </w:pPr>
            <w:r w:rsidRPr="005A3C8F">
              <w:rPr>
                <w:sz w:val="20"/>
              </w:rPr>
              <w:t xml:space="preserve"> </w:t>
            </w:r>
          </w:p>
          <w:p w:rsidR="00D75967" w:rsidRPr="005A3C8F" w:rsidRDefault="00D75967" w:rsidP="00377725">
            <w:pPr>
              <w:rPr>
                <w:sz w:val="20"/>
              </w:rPr>
            </w:pPr>
          </w:p>
          <w:p w:rsidR="00D75967" w:rsidRPr="005A3C8F" w:rsidRDefault="00D75967" w:rsidP="00377725">
            <w:pPr>
              <w:rPr>
                <w:sz w:val="20"/>
              </w:rPr>
            </w:pPr>
          </w:p>
        </w:tc>
        <w:tc>
          <w:tcPr>
            <w:tcW w:w="3402" w:type="dxa"/>
          </w:tcPr>
          <w:p w:rsidR="00D75967" w:rsidRPr="005A3C8F" w:rsidRDefault="00D75967" w:rsidP="00377725">
            <w:pPr>
              <w:rPr>
                <w:sz w:val="20"/>
              </w:rPr>
            </w:pPr>
            <w:r w:rsidRPr="005A3C8F">
              <w:rPr>
                <w:sz w:val="20"/>
              </w:rPr>
              <w:t>CA: directs, manages and monitors programmes of investment where funding is via CA, liaising with LEP</w:t>
            </w:r>
          </w:p>
          <w:p w:rsidR="00D75967" w:rsidRPr="005A3C8F" w:rsidRDefault="00D75967" w:rsidP="00377725">
            <w:pPr>
              <w:rPr>
                <w:sz w:val="20"/>
              </w:rPr>
            </w:pPr>
          </w:p>
          <w:p w:rsidR="00D75967" w:rsidRPr="005A3C8F" w:rsidRDefault="00D75967" w:rsidP="00377725">
            <w:pPr>
              <w:rPr>
                <w:sz w:val="20"/>
              </w:rPr>
            </w:pPr>
            <w:r w:rsidRPr="005A3C8F">
              <w:rPr>
                <w:sz w:val="20"/>
              </w:rPr>
              <w:t xml:space="preserve">LEP: directs, manages and monitors programmes of investment where funding is via LEP, liaising with CA </w:t>
            </w:r>
          </w:p>
          <w:p w:rsidR="00D75967" w:rsidRPr="005A3C8F" w:rsidRDefault="00D75967" w:rsidP="00377725">
            <w:pPr>
              <w:rPr>
                <w:sz w:val="20"/>
              </w:rPr>
            </w:pPr>
          </w:p>
          <w:p w:rsidR="00D75967" w:rsidRPr="005A3C8F" w:rsidRDefault="00D75967" w:rsidP="00377725">
            <w:pPr>
              <w:rPr>
                <w:sz w:val="20"/>
              </w:rPr>
            </w:pPr>
            <w:r w:rsidRPr="005A3C8F">
              <w:rPr>
                <w:sz w:val="20"/>
              </w:rPr>
              <w:t>Note: potential for joint teams to strengthen capacity and capability</w:t>
            </w:r>
          </w:p>
        </w:tc>
        <w:tc>
          <w:tcPr>
            <w:tcW w:w="3289" w:type="dxa"/>
          </w:tcPr>
          <w:p w:rsidR="00D75967" w:rsidRDefault="00D75967" w:rsidP="00377725">
            <w:pPr>
              <w:rPr>
                <w:sz w:val="20"/>
              </w:rPr>
            </w:pPr>
          </w:p>
          <w:p w:rsidR="00D75967" w:rsidRDefault="00D75967" w:rsidP="00377725">
            <w:pPr>
              <w:rPr>
                <w:sz w:val="20"/>
              </w:rPr>
            </w:pPr>
            <w:r>
              <w:rPr>
                <w:sz w:val="20"/>
              </w:rPr>
              <w:t>Again there is an opportunity for the CA to adopt the existing strategy as a joint and supported by a joint board.</w:t>
            </w:r>
          </w:p>
          <w:p w:rsidR="00D75967" w:rsidRDefault="00D75967" w:rsidP="00377725">
            <w:pPr>
              <w:rPr>
                <w:sz w:val="20"/>
              </w:rPr>
            </w:pPr>
            <w:r>
              <w:rPr>
                <w:sz w:val="20"/>
              </w:rPr>
              <w:t xml:space="preserve"> </w:t>
            </w:r>
          </w:p>
          <w:p w:rsidR="00D75967" w:rsidRDefault="00D75967" w:rsidP="00377725">
            <w:pPr>
              <w:rPr>
                <w:sz w:val="20"/>
              </w:rPr>
            </w:pPr>
          </w:p>
          <w:p w:rsidR="00D75967" w:rsidRPr="005A3C8F" w:rsidRDefault="00D75967" w:rsidP="00377725">
            <w:pPr>
              <w:rPr>
                <w:sz w:val="20"/>
              </w:rPr>
            </w:pPr>
            <w:r>
              <w:rPr>
                <w:sz w:val="20"/>
              </w:rPr>
              <w:t>Agree potential for joint teams but also new work which might be more CA delivered</w:t>
            </w:r>
          </w:p>
        </w:tc>
      </w:tr>
      <w:tr w:rsidR="00D75967" w:rsidRPr="005A3C8F" w:rsidTr="00377725">
        <w:tc>
          <w:tcPr>
            <w:tcW w:w="1668" w:type="dxa"/>
          </w:tcPr>
          <w:p w:rsidR="00D75967" w:rsidRPr="005A3C8F" w:rsidRDefault="00D75967" w:rsidP="00377725">
            <w:pPr>
              <w:rPr>
                <w:b/>
              </w:rPr>
            </w:pPr>
            <w:r w:rsidRPr="005A3C8F">
              <w:rPr>
                <w:b/>
              </w:rPr>
              <w:t>Transport</w:t>
            </w:r>
          </w:p>
        </w:tc>
        <w:tc>
          <w:tcPr>
            <w:tcW w:w="2693" w:type="dxa"/>
          </w:tcPr>
          <w:p w:rsidR="00D75967" w:rsidRPr="005A3C8F" w:rsidRDefault="00D75967" w:rsidP="00377725">
            <w:pPr>
              <w:rPr>
                <w:sz w:val="20"/>
              </w:rPr>
            </w:pPr>
            <w:r w:rsidRPr="005A3C8F">
              <w:rPr>
                <w:sz w:val="20"/>
              </w:rPr>
              <w:t>CA: formulates and sets policy through TfL, as part of wider Lancashire Plan</w:t>
            </w:r>
          </w:p>
          <w:p w:rsidR="00D75967" w:rsidRPr="005A3C8F" w:rsidRDefault="00D75967" w:rsidP="00377725">
            <w:pPr>
              <w:rPr>
                <w:sz w:val="20"/>
              </w:rPr>
            </w:pPr>
          </w:p>
          <w:p w:rsidR="00D75967" w:rsidRPr="005A3C8F" w:rsidRDefault="00D75967" w:rsidP="00377725">
            <w:pPr>
              <w:rPr>
                <w:sz w:val="20"/>
              </w:rPr>
            </w:pPr>
            <w:r w:rsidRPr="005A3C8F">
              <w:rPr>
                <w:sz w:val="20"/>
              </w:rPr>
              <w:t>LEP: input to policy formulation through 2 voting Members on TfL (note: retention of current LEP representation on TfL)</w:t>
            </w:r>
          </w:p>
        </w:tc>
        <w:tc>
          <w:tcPr>
            <w:tcW w:w="3118" w:type="dxa"/>
          </w:tcPr>
          <w:p w:rsidR="00D75967" w:rsidRPr="005A3C8F" w:rsidRDefault="00D75967" w:rsidP="00377725">
            <w:pPr>
              <w:rPr>
                <w:sz w:val="20"/>
              </w:rPr>
            </w:pPr>
            <w:r w:rsidRPr="005A3C8F">
              <w:rPr>
                <w:sz w:val="20"/>
              </w:rPr>
              <w:t>CA: transport strategy underpinned by prosperity strategy and wider Lancashire Plan, but signed off by TfL</w:t>
            </w:r>
          </w:p>
          <w:p w:rsidR="00D75967" w:rsidRPr="005A3C8F" w:rsidRDefault="00D75967" w:rsidP="00377725">
            <w:pPr>
              <w:rPr>
                <w:sz w:val="20"/>
              </w:rPr>
            </w:pPr>
          </w:p>
          <w:p w:rsidR="00D75967" w:rsidRPr="005A3C8F" w:rsidRDefault="00D75967" w:rsidP="00377725">
            <w:pPr>
              <w:rPr>
                <w:sz w:val="20"/>
              </w:rPr>
            </w:pPr>
            <w:r w:rsidRPr="005A3C8F">
              <w:rPr>
                <w:sz w:val="20"/>
              </w:rPr>
              <w:t>LEP: transport strategy driven by prosperity strategy, but signed off by TfL</w:t>
            </w:r>
          </w:p>
          <w:p w:rsidR="00D75967" w:rsidRPr="005A3C8F" w:rsidRDefault="00D75967" w:rsidP="00377725">
            <w:pPr>
              <w:rPr>
                <w:sz w:val="20"/>
              </w:rPr>
            </w:pPr>
          </w:p>
        </w:tc>
        <w:tc>
          <w:tcPr>
            <w:tcW w:w="3402" w:type="dxa"/>
          </w:tcPr>
          <w:p w:rsidR="00D75967" w:rsidRPr="005A3C8F" w:rsidRDefault="00D75967" w:rsidP="00377725">
            <w:pPr>
              <w:rPr>
                <w:sz w:val="20"/>
              </w:rPr>
            </w:pPr>
            <w:r w:rsidRPr="005A3C8F">
              <w:rPr>
                <w:sz w:val="20"/>
              </w:rPr>
              <w:t>CA: directs, manages and monitors programmes of investment where funding is via CA, liaising with LEP</w:t>
            </w:r>
          </w:p>
          <w:p w:rsidR="00D75967" w:rsidRPr="005A3C8F" w:rsidRDefault="00D75967" w:rsidP="00377725">
            <w:pPr>
              <w:rPr>
                <w:sz w:val="20"/>
              </w:rPr>
            </w:pPr>
          </w:p>
          <w:p w:rsidR="00D75967" w:rsidRPr="005A3C8F" w:rsidRDefault="00D75967" w:rsidP="00377725">
            <w:pPr>
              <w:rPr>
                <w:sz w:val="20"/>
              </w:rPr>
            </w:pPr>
            <w:r w:rsidRPr="005A3C8F">
              <w:rPr>
                <w:sz w:val="20"/>
              </w:rPr>
              <w:t>LEP: directs, manages and mon</w:t>
            </w:r>
            <w:r>
              <w:rPr>
                <w:sz w:val="20"/>
              </w:rPr>
              <w:t xml:space="preserve">itors programmes of investment </w:t>
            </w:r>
            <w:r w:rsidRPr="005A3C8F">
              <w:rPr>
                <w:sz w:val="20"/>
              </w:rPr>
              <w:t>where funding is via LEP, liaising with CA</w:t>
            </w:r>
          </w:p>
          <w:p w:rsidR="00D75967" w:rsidRPr="005A3C8F" w:rsidRDefault="00D75967" w:rsidP="00377725">
            <w:pPr>
              <w:rPr>
                <w:sz w:val="20"/>
              </w:rPr>
            </w:pPr>
          </w:p>
          <w:p w:rsidR="00D75967" w:rsidRPr="005A3C8F" w:rsidRDefault="00D75967" w:rsidP="00377725">
            <w:pPr>
              <w:rPr>
                <w:sz w:val="20"/>
              </w:rPr>
            </w:pPr>
            <w:r w:rsidRPr="005A3C8F">
              <w:rPr>
                <w:sz w:val="20"/>
              </w:rPr>
              <w:t>Note: potential for joint teams to strengthen capacity and capability</w:t>
            </w:r>
          </w:p>
        </w:tc>
        <w:tc>
          <w:tcPr>
            <w:tcW w:w="3289" w:type="dxa"/>
          </w:tcPr>
          <w:p w:rsidR="00D75967" w:rsidRDefault="00D75967" w:rsidP="00377725">
            <w:pPr>
              <w:rPr>
                <w:sz w:val="20"/>
              </w:rPr>
            </w:pPr>
            <w:r>
              <w:rPr>
                <w:sz w:val="20"/>
              </w:rPr>
              <w:t>TLF has a direct relationship to the CA rather than the LEP although representation from the LEP remains unchanged.</w:t>
            </w:r>
          </w:p>
          <w:p w:rsidR="00D75967" w:rsidRDefault="00D75967" w:rsidP="00377725">
            <w:pPr>
              <w:rPr>
                <w:sz w:val="20"/>
              </w:rPr>
            </w:pPr>
          </w:p>
          <w:p w:rsidR="00D75967" w:rsidRDefault="00D75967" w:rsidP="00377725">
            <w:pPr>
              <w:rPr>
                <w:sz w:val="20"/>
              </w:rPr>
            </w:pPr>
            <w:r>
              <w:rPr>
                <w:sz w:val="20"/>
              </w:rPr>
              <w:t>There is an undertaking within the CA to move to shared accountability and liability amongst all 14 authorities. Current TFL authorities using their best endeavours to make this change.</w:t>
            </w:r>
          </w:p>
          <w:p w:rsidR="00D75967" w:rsidRDefault="00D75967" w:rsidP="00377725">
            <w:pPr>
              <w:rPr>
                <w:sz w:val="20"/>
              </w:rPr>
            </w:pPr>
          </w:p>
          <w:p w:rsidR="00D75967" w:rsidRPr="005A3C8F" w:rsidRDefault="00D75967" w:rsidP="00377725">
            <w:pPr>
              <w:rPr>
                <w:sz w:val="20"/>
              </w:rPr>
            </w:pPr>
            <w:r>
              <w:rPr>
                <w:sz w:val="20"/>
              </w:rPr>
              <w:t>See above on accountabilities but the main thrust here is TFL board remains the same but its principal accountability is to the CA</w:t>
            </w:r>
          </w:p>
        </w:tc>
      </w:tr>
      <w:tr w:rsidR="00D75967" w:rsidRPr="005A3C8F" w:rsidTr="00377725">
        <w:tc>
          <w:tcPr>
            <w:tcW w:w="1668" w:type="dxa"/>
          </w:tcPr>
          <w:p w:rsidR="00D75967" w:rsidRPr="005A3C8F" w:rsidRDefault="00D75967" w:rsidP="00377725">
            <w:pPr>
              <w:rPr>
                <w:b/>
              </w:rPr>
            </w:pPr>
            <w:r w:rsidRPr="005A3C8F">
              <w:rPr>
                <w:b/>
              </w:rPr>
              <w:lastRenderedPageBreak/>
              <w:t>Governance</w:t>
            </w:r>
          </w:p>
        </w:tc>
        <w:tc>
          <w:tcPr>
            <w:tcW w:w="2693" w:type="dxa"/>
          </w:tcPr>
          <w:p w:rsidR="00D75967" w:rsidRPr="005A3C8F" w:rsidRDefault="00D75967" w:rsidP="00377725">
            <w:pPr>
              <w:rPr>
                <w:sz w:val="20"/>
              </w:rPr>
            </w:pPr>
            <w:r w:rsidRPr="005A3C8F">
              <w:rPr>
                <w:sz w:val="20"/>
              </w:rPr>
              <w:t xml:space="preserve">CA: formulates and sets CA governance and legal framework, with LEP consulted on current/future proposals </w:t>
            </w:r>
          </w:p>
          <w:p w:rsidR="00D75967" w:rsidRPr="005A3C8F" w:rsidRDefault="00D75967" w:rsidP="00377725">
            <w:pPr>
              <w:rPr>
                <w:sz w:val="20"/>
              </w:rPr>
            </w:pPr>
          </w:p>
          <w:p w:rsidR="00D75967" w:rsidRPr="005A3C8F" w:rsidRDefault="00D75967" w:rsidP="00377725">
            <w:pPr>
              <w:rPr>
                <w:sz w:val="20"/>
              </w:rPr>
            </w:pPr>
            <w:r w:rsidRPr="005A3C8F">
              <w:rPr>
                <w:sz w:val="20"/>
              </w:rPr>
              <w:t>LEP: LEP Chair a non-constituent member of the CA; LEP input to formulation of current/future CA governance and legal framework; agrees with CA the role and responsibilities of</w:t>
            </w:r>
            <w:r>
              <w:rPr>
                <w:sz w:val="20"/>
              </w:rPr>
              <w:t xml:space="preserve"> the LEP within new framework</w:t>
            </w:r>
          </w:p>
        </w:tc>
        <w:tc>
          <w:tcPr>
            <w:tcW w:w="3118" w:type="dxa"/>
          </w:tcPr>
          <w:p w:rsidR="00D75967" w:rsidRPr="00207FF1" w:rsidRDefault="00D75967" w:rsidP="00377725">
            <w:pPr>
              <w:rPr>
                <w:sz w:val="20"/>
              </w:rPr>
            </w:pPr>
            <w:r w:rsidRPr="00207FF1">
              <w:rPr>
                <w:sz w:val="20"/>
              </w:rPr>
              <w:t xml:space="preserve">CA: </w:t>
            </w:r>
            <w:r>
              <w:rPr>
                <w:sz w:val="20"/>
              </w:rPr>
              <w:t xml:space="preserve">Leads on development of current and </w:t>
            </w:r>
            <w:r w:rsidRPr="00207FF1">
              <w:rPr>
                <w:sz w:val="20"/>
              </w:rPr>
              <w:t>future Governan</w:t>
            </w:r>
            <w:r>
              <w:rPr>
                <w:sz w:val="20"/>
              </w:rPr>
              <w:t>ce Reviews. Leads on</w:t>
            </w:r>
            <w:r w:rsidRPr="00207FF1">
              <w:rPr>
                <w:sz w:val="20"/>
              </w:rPr>
              <w:t xml:space="preserve"> CA schemes, orders, constitution and other legal instruments; Leads on all CA consultation and communications</w:t>
            </w:r>
          </w:p>
          <w:p w:rsidR="00D75967" w:rsidRPr="001145DF" w:rsidRDefault="00D75967" w:rsidP="00377725">
            <w:pPr>
              <w:rPr>
                <w:sz w:val="20"/>
                <w:highlight w:val="yellow"/>
              </w:rPr>
            </w:pPr>
          </w:p>
          <w:p w:rsidR="00D75967" w:rsidRPr="001145DF" w:rsidRDefault="00D75967" w:rsidP="00377725">
            <w:pPr>
              <w:rPr>
                <w:sz w:val="20"/>
                <w:highlight w:val="yellow"/>
              </w:rPr>
            </w:pPr>
            <w:r>
              <w:rPr>
                <w:sz w:val="20"/>
              </w:rPr>
              <w:t>LEP: formal input</w:t>
            </w:r>
            <w:r w:rsidRPr="00207FF1">
              <w:rPr>
                <w:sz w:val="20"/>
              </w:rPr>
              <w:t xml:space="preserve"> to current</w:t>
            </w:r>
            <w:r>
              <w:rPr>
                <w:sz w:val="20"/>
              </w:rPr>
              <w:t xml:space="preserve"> and </w:t>
            </w:r>
            <w:r w:rsidRPr="00207FF1">
              <w:rPr>
                <w:sz w:val="20"/>
              </w:rPr>
              <w:t>future developments of the CA governance and legal framework</w:t>
            </w:r>
          </w:p>
        </w:tc>
        <w:tc>
          <w:tcPr>
            <w:tcW w:w="3402" w:type="dxa"/>
          </w:tcPr>
          <w:p w:rsidR="00D75967" w:rsidRPr="005A3C8F" w:rsidRDefault="00D75967" w:rsidP="00377725">
            <w:pPr>
              <w:rPr>
                <w:sz w:val="20"/>
              </w:rPr>
            </w:pPr>
            <w:r w:rsidRPr="005A3C8F">
              <w:rPr>
                <w:sz w:val="20"/>
              </w:rPr>
              <w:t>CA: directs/manages CA governance and legal framework, and establishes scrutiny arrangements in consultation with LEP and other key stakeholders</w:t>
            </w:r>
          </w:p>
          <w:p w:rsidR="00D75967" w:rsidRPr="005A3C8F" w:rsidRDefault="00D75967" w:rsidP="00377725">
            <w:pPr>
              <w:rPr>
                <w:sz w:val="20"/>
              </w:rPr>
            </w:pPr>
          </w:p>
          <w:p w:rsidR="00D75967" w:rsidRDefault="00D75967" w:rsidP="00377725">
            <w:pPr>
              <w:rPr>
                <w:sz w:val="20"/>
              </w:rPr>
            </w:pPr>
          </w:p>
          <w:p w:rsidR="00D75967" w:rsidRPr="005A3C8F" w:rsidRDefault="00D75967" w:rsidP="00377725">
            <w:pPr>
              <w:rPr>
                <w:sz w:val="20"/>
              </w:rPr>
            </w:pPr>
            <w:r w:rsidRPr="005A3C8F">
              <w:rPr>
                <w:sz w:val="20"/>
              </w:rPr>
              <w:t xml:space="preserve">LEP: directs/manages LEP governance and legal framework; LEP modifies </w:t>
            </w:r>
            <w:r>
              <w:rPr>
                <w:sz w:val="20"/>
              </w:rPr>
              <w:t xml:space="preserve">its </w:t>
            </w:r>
            <w:r w:rsidRPr="00C95C49">
              <w:rPr>
                <w:sz w:val="20"/>
              </w:rPr>
              <w:t>Performance Committee and Assurance Framework in recognition of established CA and new scrutiny arrangements</w:t>
            </w:r>
          </w:p>
        </w:tc>
        <w:tc>
          <w:tcPr>
            <w:tcW w:w="3289" w:type="dxa"/>
          </w:tcPr>
          <w:p w:rsidR="00D75967" w:rsidRDefault="00D75967" w:rsidP="00377725">
            <w:pPr>
              <w:rPr>
                <w:sz w:val="20"/>
              </w:rPr>
            </w:pPr>
            <w:r>
              <w:rPr>
                <w:sz w:val="20"/>
              </w:rPr>
              <w:t xml:space="preserve">The CA will have an O&amp;S function; audit and performance. </w:t>
            </w:r>
          </w:p>
          <w:p w:rsidR="00D75967" w:rsidRPr="005A3C8F" w:rsidRDefault="00D75967" w:rsidP="00377725">
            <w:pPr>
              <w:rPr>
                <w:sz w:val="20"/>
              </w:rPr>
            </w:pPr>
            <w:r>
              <w:rPr>
                <w:sz w:val="20"/>
              </w:rPr>
              <w:t xml:space="preserve">There may be opportunities for shared structures and or programmes particularly with O&amp;S. </w:t>
            </w:r>
          </w:p>
        </w:tc>
      </w:tr>
    </w:tbl>
    <w:p w:rsidR="00D75967" w:rsidRDefault="00D75967" w:rsidP="00D75967"/>
    <w:p w:rsidR="00D75967" w:rsidRDefault="00D75967" w:rsidP="000C7FFA">
      <w:pPr>
        <w:autoSpaceDE w:val="0"/>
        <w:autoSpaceDN w:val="0"/>
        <w:adjustRightInd w:val="0"/>
        <w:spacing w:after="0" w:line="240" w:lineRule="auto"/>
        <w:rPr>
          <w:rFonts w:ascii="Arial" w:hAnsi="Arial" w:cs="Arial"/>
          <w:b/>
          <w:sz w:val="24"/>
          <w:szCs w:val="24"/>
        </w:rPr>
        <w:sectPr w:rsidR="00D75967" w:rsidSect="00D75967">
          <w:pgSz w:w="16838" w:h="11906" w:orient="landscape"/>
          <w:pgMar w:top="1440" w:right="1440" w:bottom="1440" w:left="1440" w:header="709" w:footer="709" w:gutter="0"/>
          <w:cols w:space="708"/>
          <w:docGrid w:linePitch="360"/>
        </w:sectPr>
      </w:pPr>
    </w:p>
    <w:p w:rsidR="00D75967" w:rsidRDefault="00D75967" w:rsidP="00D75967">
      <w:pPr>
        <w:jc w:val="center"/>
        <w:rPr>
          <w:rFonts w:ascii="Arial" w:hAnsi="Arial" w:cs="Arial"/>
          <w:b/>
          <w:u w:val="single"/>
        </w:rPr>
      </w:pPr>
      <w:r>
        <w:rPr>
          <w:rFonts w:ascii="Arial" w:hAnsi="Arial" w:cs="Arial"/>
          <w:b/>
          <w:u w:val="single"/>
        </w:rPr>
        <w:lastRenderedPageBreak/>
        <w:t>LEP AND SUB COMMITTEES</w:t>
      </w:r>
    </w:p>
    <w:p w:rsidR="00D75967" w:rsidRDefault="00D75967" w:rsidP="00D75967">
      <w:pPr>
        <w:jc w:val="center"/>
        <w:rPr>
          <w:rFonts w:ascii="Arial" w:hAnsi="Arial" w:cs="Arial"/>
          <w:b/>
          <w:u w:val="single"/>
        </w:rPr>
      </w:pPr>
    </w:p>
    <w:tbl>
      <w:tblPr>
        <w:tblStyle w:val="TableGrid"/>
        <w:tblW w:w="0" w:type="auto"/>
        <w:tblLook w:val="04A0" w:firstRow="1" w:lastRow="0" w:firstColumn="1" w:lastColumn="0" w:noHBand="0" w:noVBand="1"/>
      </w:tblPr>
      <w:tblGrid>
        <w:gridCol w:w="2830"/>
        <w:gridCol w:w="6186"/>
      </w:tblGrid>
      <w:tr w:rsidR="00D75967" w:rsidTr="00377725">
        <w:tc>
          <w:tcPr>
            <w:tcW w:w="2830" w:type="dxa"/>
          </w:tcPr>
          <w:p w:rsidR="00D75967" w:rsidRDefault="00D75967" w:rsidP="00377725">
            <w:pPr>
              <w:rPr>
                <w:rFonts w:ascii="Arial" w:hAnsi="Arial" w:cs="Arial"/>
              </w:rPr>
            </w:pPr>
          </w:p>
          <w:p w:rsidR="00D75967" w:rsidRPr="00A0264A" w:rsidRDefault="00D75967" w:rsidP="00377725">
            <w:pPr>
              <w:jc w:val="center"/>
              <w:rPr>
                <w:rFonts w:ascii="Arial" w:hAnsi="Arial" w:cs="Arial"/>
                <w:b/>
                <w:u w:val="single"/>
              </w:rPr>
            </w:pPr>
            <w:r>
              <w:rPr>
                <w:rFonts w:ascii="Arial" w:hAnsi="Arial" w:cs="Arial"/>
                <w:b/>
                <w:u w:val="single"/>
              </w:rPr>
              <w:t>EXISTING</w:t>
            </w:r>
          </w:p>
          <w:p w:rsidR="00D75967" w:rsidRDefault="00D75967" w:rsidP="00377725">
            <w:pPr>
              <w:rPr>
                <w:rFonts w:ascii="Arial" w:hAnsi="Arial" w:cs="Arial"/>
              </w:rPr>
            </w:pPr>
          </w:p>
        </w:tc>
        <w:tc>
          <w:tcPr>
            <w:tcW w:w="6186" w:type="dxa"/>
          </w:tcPr>
          <w:p w:rsidR="00D75967" w:rsidRDefault="00D75967" w:rsidP="00377725">
            <w:pPr>
              <w:rPr>
                <w:rFonts w:ascii="Arial" w:hAnsi="Arial" w:cs="Arial"/>
              </w:rPr>
            </w:pPr>
          </w:p>
          <w:p w:rsidR="00D75967" w:rsidRPr="00A0264A" w:rsidRDefault="00D75967" w:rsidP="00377725">
            <w:pPr>
              <w:jc w:val="center"/>
              <w:rPr>
                <w:rFonts w:ascii="Arial" w:hAnsi="Arial" w:cs="Arial"/>
                <w:b/>
                <w:u w:val="single"/>
              </w:rPr>
            </w:pPr>
            <w:r w:rsidRPr="00A0264A">
              <w:rPr>
                <w:rFonts w:ascii="Arial" w:hAnsi="Arial" w:cs="Arial"/>
                <w:b/>
                <w:u w:val="single"/>
              </w:rPr>
              <w:t>COMBINED AUTHORITY</w:t>
            </w: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GROWTH DEAL</w:t>
            </w:r>
          </w:p>
          <w:p w:rsidR="00D75967" w:rsidRPr="00CF42E8" w:rsidRDefault="00D75967" w:rsidP="00377725">
            <w:pPr>
              <w:rPr>
                <w:rFonts w:ascii="Arial" w:hAnsi="Arial" w:cs="Arial"/>
              </w:rPr>
            </w:pPr>
            <w:r w:rsidRPr="00CF42E8">
              <w:rPr>
                <w:rFonts w:ascii="Arial" w:hAnsi="Arial" w:cs="Arial"/>
              </w:rPr>
              <w:t>MGT BOARD</w:t>
            </w: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For current programmes (1,2,3) no change.</w:t>
            </w:r>
          </w:p>
          <w:p w:rsidR="00D75967" w:rsidRPr="00CF42E8" w:rsidRDefault="00D75967" w:rsidP="00377725">
            <w:pPr>
              <w:rPr>
                <w:rFonts w:ascii="Arial" w:hAnsi="Arial" w:cs="Arial"/>
              </w:rPr>
            </w:pPr>
            <w:r w:rsidRPr="00CF42E8">
              <w:rPr>
                <w:rFonts w:ascii="Arial" w:hAnsi="Arial" w:cs="Arial"/>
              </w:rPr>
              <w:t>If there is a future round or similar funding pot a CA would want to have oversight of the process working with the LEP to agree the focus of any future growth fund or similar bids. (</w:t>
            </w:r>
            <w:r>
              <w:rPr>
                <w:rFonts w:ascii="Arial" w:hAnsi="Arial" w:cs="Arial"/>
              </w:rPr>
              <w:t xml:space="preserve">Unless Government provides non </w:t>
            </w:r>
            <w:r w:rsidRPr="00CF42E8">
              <w:rPr>
                <w:rFonts w:ascii="Arial" w:hAnsi="Arial" w:cs="Arial"/>
              </w:rPr>
              <w:t>ring</w:t>
            </w:r>
            <w:r>
              <w:rPr>
                <w:rFonts w:ascii="Arial" w:hAnsi="Arial" w:cs="Arial"/>
              </w:rPr>
              <w:t>-</w:t>
            </w:r>
            <w:r w:rsidRPr="00CF42E8">
              <w:rPr>
                <w:rFonts w:ascii="Arial" w:hAnsi="Arial" w:cs="Arial"/>
              </w:rPr>
              <w:t xml:space="preserve">fenced funds, the key criteria is usually nationally set and informed by agreed strategies) Bid development and on-going programme management would remain with the LEP. </w:t>
            </w:r>
          </w:p>
          <w:p w:rsidR="00D75967" w:rsidRPr="00CF42E8" w:rsidRDefault="00D75967" w:rsidP="00377725">
            <w:pPr>
              <w:rPr>
                <w:rFonts w:ascii="Arial" w:hAnsi="Arial" w:cs="Arial"/>
              </w:rPr>
            </w:pP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ENTERPRISE ZONE GOV COMMITTEE</w:t>
            </w: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No change to current EZ arrangements. (Note: this Committee has oversight of three EZs and four sites, but no change proposed in this area).</w:t>
            </w:r>
          </w:p>
          <w:p w:rsidR="00D75967" w:rsidRPr="00CF42E8" w:rsidRDefault="00D75967" w:rsidP="00377725">
            <w:pPr>
              <w:rPr>
                <w:rFonts w:ascii="Arial" w:hAnsi="Arial" w:cs="Arial"/>
              </w:rPr>
            </w:pP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PERFORMANCE COMMITTEE</w:t>
            </w:r>
          </w:p>
          <w:p w:rsidR="00D75967" w:rsidRPr="00CF42E8" w:rsidRDefault="00D75967" w:rsidP="00377725">
            <w:pPr>
              <w:rPr>
                <w:rFonts w:ascii="Arial" w:hAnsi="Arial" w:cs="Arial"/>
              </w:rPr>
            </w:pP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No change. However, there may be a need to consider/link with required scrutiny arrangements for CA?</w:t>
            </w: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BUSINESS SUPPORT COMMITTEE</w:t>
            </w:r>
          </w:p>
          <w:p w:rsidR="00D75967" w:rsidRPr="00CF42E8" w:rsidRDefault="00D75967" w:rsidP="00377725">
            <w:pPr>
              <w:rPr>
                <w:rFonts w:ascii="Arial" w:hAnsi="Arial" w:cs="Arial"/>
              </w:rPr>
            </w:pP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No change.</w:t>
            </w: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CITY DEAL</w:t>
            </w: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No proposal to change governance of the existing deal.  However, future deals may have a direct relationship to the CA.</w:t>
            </w:r>
          </w:p>
          <w:p w:rsidR="00D75967" w:rsidRPr="00CF42E8" w:rsidRDefault="00D75967" w:rsidP="00377725">
            <w:pPr>
              <w:rPr>
                <w:rFonts w:ascii="Arial" w:hAnsi="Arial" w:cs="Arial"/>
              </w:rPr>
            </w:pP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EMPOYMENT AND SKILLS BOARD</w:t>
            </w: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 xml:space="preserve">Potential for this to be a Joint Committee of the LEP and CA with clear lines of accountability regarding the leadership and delivery of distinct elements of a shared strategy. </w:t>
            </w:r>
          </w:p>
          <w:p w:rsidR="00D75967" w:rsidRPr="00CF42E8" w:rsidRDefault="00D75967" w:rsidP="00377725">
            <w:pPr>
              <w:rPr>
                <w:rFonts w:ascii="Arial" w:hAnsi="Arial" w:cs="Arial"/>
              </w:rPr>
            </w:pPr>
          </w:p>
          <w:p w:rsidR="00D75967" w:rsidRPr="00CF42E8" w:rsidRDefault="00D75967" w:rsidP="00377725">
            <w:pPr>
              <w:rPr>
                <w:rFonts w:ascii="Arial" w:hAnsi="Arial" w:cs="Arial"/>
              </w:rPr>
            </w:pPr>
          </w:p>
        </w:tc>
      </w:tr>
      <w:tr w:rsidR="00D75967" w:rsidRPr="00CF42E8" w:rsidTr="00377725">
        <w:tc>
          <w:tcPr>
            <w:tcW w:w="2830"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TRANSPORT FOR LANCASHIRE</w:t>
            </w:r>
          </w:p>
        </w:tc>
        <w:tc>
          <w:tcPr>
            <w:tcW w:w="6186" w:type="dxa"/>
          </w:tcPr>
          <w:p w:rsidR="00D75967" w:rsidRPr="00CF42E8" w:rsidRDefault="00D75967" w:rsidP="00377725">
            <w:pPr>
              <w:rPr>
                <w:rFonts w:ascii="Arial" w:hAnsi="Arial" w:cs="Arial"/>
              </w:rPr>
            </w:pPr>
          </w:p>
          <w:p w:rsidR="00D75967" w:rsidRPr="00CF42E8" w:rsidRDefault="00D75967" w:rsidP="00377725">
            <w:pPr>
              <w:rPr>
                <w:rFonts w:ascii="Arial" w:hAnsi="Arial" w:cs="Arial"/>
              </w:rPr>
            </w:pPr>
            <w:r w:rsidRPr="00CF42E8">
              <w:rPr>
                <w:rFonts w:ascii="Arial" w:hAnsi="Arial" w:cs="Arial"/>
              </w:rPr>
              <w:t>Transfers to the CA.  Maintains its current LEP representation.  CA commits its best endeavours to move from 3 transport authorities to 1 with 15 members (all LAs) ; at which part the Chair of the LEP may acquire voting rights on TFL issues as decided in the CA. (Note: there may be a few legacy hand-over issues in relation to Growth Deal funded transport schemes).</w:t>
            </w:r>
          </w:p>
        </w:tc>
      </w:tr>
    </w:tbl>
    <w:p w:rsidR="00D75967" w:rsidRPr="00CF42E8" w:rsidRDefault="00D75967" w:rsidP="00D75967"/>
    <w:p w:rsidR="00D75967" w:rsidRPr="00CF42E8" w:rsidRDefault="00D75967" w:rsidP="00D75967">
      <w:pPr>
        <w:sectPr w:rsidR="00D75967" w:rsidRPr="00CF42E8">
          <w:headerReference w:type="default" r:id="rId10"/>
          <w:pgSz w:w="11906" w:h="16838"/>
          <w:pgMar w:top="1440" w:right="1440" w:bottom="1440" w:left="1440" w:header="708" w:footer="708" w:gutter="0"/>
          <w:cols w:space="708"/>
          <w:docGrid w:linePitch="360"/>
        </w:sectPr>
      </w:pPr>
    </w:p>
    <w:p w:rsidR="00D75967" w:rsidRPr="00CF42E8" w:rsidRDefault="00D75967" w:rsidP="00D75967">
      <w:pPr>
        <w:jc w:val="center"/>
        <w:rPr>
          <w:rFonts w:ascii="Arial" w:hAnsi="Arial" w:cs="Arial"/>
          <w:b/>
          <w:sz w:val="28"/>
          <w:szCs w:val="28"/>
        </w:rPr>
      </w:pPr>
      <w:r w:rsidRPr="00CF42E8">
        <w:rPr>
          <w:rFonts w:ascii="Arial" w:hAnsi="Arial" w:cs="Arial"/>
          <w:b/>
          <w:sz w:val="28"/>
          <w:szCs w:val="28"/>
        </w:rPr>
        <w:lastRenderedPageBreak/>
        <w:t>COMBINED AUTHORITY</w:t>
      </w:r>
    </w:p>
    <w:p w:rsidR="00D75967" w:rsidRPr="00CF42E8" w:rsidRDefault="00D75967" w:rsidP="00D75967">
      <w:pPr>
        <w:jc w:val="center"/>
        <w:rPr>
          <w:rFonts w:ascii="Arial" w:hAnsi="Arial" w:cs="Arial"/>
          <w:sz w:val="24"/>
          <w:szCs w:val="24"/>
        </w:rPr>
      </w:pPr>
    </w:p>
    <w:p w:rsidR="00D75967" w:rsidRPr="00CF42E8" w:rsidRDefault="00D75967" w:rsidP="00D75967">
      <w:pPr>
        <w:rPr>
          <w:rFonts w:ascii="Arial" w:hAnsi="Arial" w:cs="Arial"/>
          <w:sz w:val="24"/>
          <w:szCs w:val="24"/>
        </w:rPr>
      </w:pPr>
    </w:p>
    <w:tbl>
      <w:tblPr>
        <w:tblStyle w:val="TableGrid"/>
        <w:tblW w:w="0" w:type="auto"/>
        <w:tblLook w:val="04A0" w:firstRow="1" w:lastRow="0" w:firstColumn="1" w:lastColumn="0" w:noHBand="0" w:noVBand="1"/>
      </w:tblPr>
      <w:tblGrid>
        <w:gridCol w:w="2782"/>
        <w:gridCol w:w="2794"/>
        <w:gridCol w:w="2794"/>
        <w:gridCol w:w="2794"/>
        <w:gridCol w:w="2784"/>
      </w:tblGrid>
      <w:tr w:rsidR="00D75967" w:rsidRPr="00CF42E8" w:rsidTr="00377725">
        <w:tc>
          <w:tcPr>
            <w:tcW w:w="14174" w:type="dxa"/>
            <w:gridSpan w:val="5"/>
            <w:shd w:val="clear" w:color="auto" w:fill="A6A6A6" w:themeFill="background1" w:themeFillShade="A6"/>
          </w:tcPr>
          <w:p w:rsidR="00D75967" w:rsidRPr="00CF42E8" w:rsidRDefault="00D75967" w:rsidP="00377725">
            <w:pPr>
              <w:jc w:val="center"/>
              <w:rPr>
                <w:rFonts w:ascii="Arial" w:hAnsi="Arial" w:cs="Arial"/>
                <w:b/>
                <w:sz w:val="24"/>
                <w:szCs w:val="24"/>
              </w:rPr>
            </w:pPr>
            <w:r w:rsidRPr="00CF42E8">
              <w:rPr>
                <w:rFonts w:ascii="Arial" w:hAnsi="Arial" w:cs="Arial"/>
                <w:b/>
                <w:sz w:val="24"/>
                <w:szCs w:val="24"/>
              </w:rPr>
              <w:t>LANCASHIRE PLAN</w:t>
            </w:r>
          </w:p>
          <w:p w:rsidR="00D75967" w:rsidRPr="00CF42E8" w:rsidRDefault="00D75967" w:rsidP="00377725">
            <w:pPr>
              <w:jc w:val="center"/>
              <w:rPr>
                <w:rFonts w:ascii="Arial" w:hAnsi="Arial" w:cs="Arial"/>
                <w:sz w:val="24"/>
                <w:szCs w:val="24"/>
              </w:rPr>
            </w:pPr>
          </w:p>
          <w:p w:rsidR="00D75967" w:rsidRPr="00CF42E8" w:rsidRDefault="00D75967" w:rsidP="00377725">
            <w:pPr>
              <w:jc w:val="center"/>
              <w:rPr>
                <w:rFonts w:ascii="Arial" w:hAnsi="Arial" w:cs="Arial"/>
                <w:sz w:val="24"/>
                <w:szCs w:val="24"/>
              </w:rPr>
            </w:pPr>
            <w:r w:rsidRPr="00CF42E8">
              <w:rPr>
                <w:rFonts w:ascii="Arial" w:hAnsi="Arial" w:cs="Arial"/>
                <w:sz w:val="24"/>
                <w:szCs w:val="24"/>
              </w:rPr>
              <w:t>An umbrella plan which sets out the priorities of the CA and identifies strategies and partners for delivery.</w:t>
            </w:r>
          </w:p>
          <w:p w:rsidR="00D75967" w:rsidRPr="00CF42E8" w:rsidRDefault="00D75967" w:rsidP="00377725">
            <w:pPr>
              <w:rPr>
                <w:rFonts w:ascii="Arial" w:hAnsi="Arial" w:cs="Arial"/>
                <w:sz w:val="24"/>
                <w:szCs w:val="24"/>
              </w:rPr>
            </w:pPr>
          </w:p>
        </w:tc>
      </w:tr>
      <w:tr w:rsidR="00D75967" w:rsidRPr="00CF42E8" w:rsidTr="00377725">
        <w:tc>
          <w:tcPr>
            <w:tcW w:w="2834" w:type="dxa"/>
            <w:shd w:val="clear" w:color="auto" w:fill="D9D9D9" w:themeFill="background1" w:themeFillShade="D9"/>
          </w:tcPr>
          <w:p w:rsidR="00D75967" w:rsidRPr="00CF42E8" w:rsidRDefault="00D75967" w:rsidP="00377725">
            <w:pPr>
              <w:rPr>
                <w:rFonts w:ascii="Arial" w:hAnsi="Arial" w:cs="Arial"/>
                <w:sz w:val="24"/>
                <w:szCs w:val="24"/>
              </w:rPr>
            </w:pPr>
            <w:r w:rsidRPr="00CF42E8">
              <w:rPr>
                <w:rFonts w:ascii="Arial" w:hAnsi="Arial" w:cs="Arial"/>
                <w:sz w:val="24"/>
                <w:szCs w:val="24"/>
              </w:rPr>
              <w:t>Skills</w:t>
            </w:r>
          </w:p>
        </w:tc>
        <w:tc>
          <w:tcPr>
            <w:tcW w:w="2835" w:type="dxa"/>
            <w:shd w:val="clear" w:color="auto" w:fill="D9D9D9" w:themeFill="background1" w:themeFillShade="D9"/>
          </w:tcPr>
          <w:p w:rsidR="00D75967" w:rsidRPr="00CF42E8" w:rsidRDefault="00D75967" w:rsidP="00377725">
            <w:pPr>
              <w:rPr>
                <w:rFonts w:ascii="Arial" w:hAnsi="Arial" w:cs="Arial"/>
                <w:sz w:val="24"/>
                <w:szCs w:val="24"/>
              </w:rPr>
            </w:pPr>
            <w:r w:rsidRPr="00CF42E8">
              <w:rPr>
                <w:rFonts w:ascii="Arial" w:hAnsi="Arial" w:cs="Arial"/>
                <w:sz w:val="24"/>
                <w:szCs w:val="24"/>
              </w:rPr>
              <w:t>Housing</w:t>
            </w:r>
          </w:p>
        </w:tc>
        <w:tc>
          <w:tcPr>
            <w:tcW w:w="2835" w:type="dxa"/>
            <w:shd w:val="clear" w:color="auto" w:fill="D9D9D9" w:themeFill="background1" w:themeFillShade="D9"/>
          </w:tcPr>
          <w:p w:rsidR="00D75967" w:rsidRPr="00CF42E8" w:rsidRDefault="00D75967" w:rsidP="00377725">
            <w:pPr>
              <w:rPr>
                <w:rFonts w:ascii="Arial" w:hAnsi="Arial" w:cs="Arial"/>
                <w:sz w:val="24"/>
                <w:szCs w:val="24"/>
              </w:rPr>
            </w:pPr>
            <w:r w:rsidRPr="00CF42E8">
              <w:rPr>
                <w:rFonts w:ascii="Arial" w:hAnsi="Arial" w:cs="Arial"/>
                <w:sz w:val="24"/>
                <w:szCs w:val="24"/>
              </w:rPr>
              <w:t>Connected</w:t>
            </w:r>
          </w:p>
        </w:tc>
        <w:tc>
          <w:tcPr>
            <w:tcW w:w="2835" w:type="dxa"/>
            <w:shd w:val="clear" w:color="auto" w:fill="D9D9D9" w:themeFill="background1" w:themeFillShade="D9"/>
          </w:tcPr>
          <w:p w:rsidR="00D75967" w:rsidRPr="00CF42E8" w:rsidRDefault="00D75967" w:rsidP="00377725">
            <w:pPr>
              <w:rPr>
                <w:rFonts w:ascii="Arial" w:hAnsi="Arial" w:cs="Arial"/>
                <w:sz w:val="24"/>
                <w:szCs w:val="24"/>
              </w:rPr>
            </w:pPr>
            <w:r w:rsidRPr="00CF42E8">
              <w:rPr>
                <w:rFonts w:ascii="Arial" w:hAnsi="Arial" w:cs="Arial"/>
                <w:sz w:val="24"/>
                <w:szCs w:val="24"/>
              </w:rPr>
              <w:t>Prosperous</w:t>
            </w:r>
          </w:p>
        </w:tc>
        <w:tc>
          <w:tcPr>
            <w:tcW w:w="2835" w:type="dxa"/>
            <w:shd w:val="clear" w:color="auto" w:fill="D9D9D9" w:themeFill="background1" w:themeFillShade="D9"/>
          </w:tcPr>
          <w:p w:rsidR="00D75967" w:rsidRPr="00CF42E8" w:rsidRDefault="00D75967" w:rsidP="00377725">
            <w:pPr>
              <w:rPr>
                <w:rFonts w:ascii="Arial" w:hAnsi="Arial" w:cs="Arial"/>
                <w:sz w:val="24"/>
                <w:szCs w:val="24"/>
              </w:rPr>
            </w:pPr>
            <w:r w:rsidRPr="00CF42E8">
              <w:rPr>
                <w:rFonts w:ascii="Arial" w:hAnsi="Arial" w:cs="Arial"/>
                <w:sz w:val="24"/>
                <w:szCs w:val="24"/>
              </w:rPr>
              <w:t>Public Services</w:t>
            </w:r>
          </w:p>
          <w:p w:rsidR="00D75967" w:rsidRPr="00CF42E8" w:rsidRDefault="00D75967" w:rsidP="00377725">
            <w:pPr>
              <w:rPr>
                <w:rFonts w:ascii="Arial" w:hAnsi="Arial" w:cs="Arial"/>
                <w:sz w:val="24"/>
                <w:szCs w:val="24"/>
              </w:rPr>
            </w:pPr>
          </w:p>
        </w:tc>
      </w:tr>
      <w:tr w:rsidR="00D75967" w:rsidRPr="00CF42E8" w:rsidTr="00377725">
        <w:trPr>
          <w:trHeight w:val="1104"/>
        </w:trPr>
        <w:tc>
          <w:tcPr>
            <w:tcW w:w="2834" w:type="dxa"/>
          </w:tcPr>
          <w:p w:rsidR="00D75967" w:rsidRPr="00CF42E8" w:rsidRDefault="00D75967" w:rsidP="00377725">
            <w:pPr>
              <w:rPr>
                <w:rFonts w:ascii="Arial" w:hAnsi="Arial" w:cs="Arial"/>
                <w:sz w:val="24"/>
                <w:szCs w:val="24"/>
              </w:rPr>
            </w:pPr>
            <w:r w:rsidRPr="00CF42E8">
              <w:rPr>
                <w:rFonts w:ascii="Arial" w:hAnsi="Arial" w:cs="Arial"/>
                <w:sz w:val="24"/>
                <w:szCs w:val="24"/>
              </w:rPr>
              <w:t>Lancashire Employment and Skills Strategy*</w:t>
            </w:r>
          </w:p>
          <w:p w:rsidR="00D75967" w:rsidRPr="00CF42E8" w:rsidRDefault="00D75967" w:rsidP="00377725">
            <w:pPr>
              <w:rPr>
                <w:rFonts w:ascii="Arial" w:hAnsi="Arial" w:cs="Arial"/>
                <w:sz w:val="24"/>
                <w:szCs w:val="24"/>
              </w:rPr>
            </w:pPr>
          </w:p>
        </w:tc>
        <w:tc>
          <w:tcPr>
            <w:tcW w:w="2835" w:type="dxa"/>
          </w:tcPr>
          <w:p w:rsidR="00D75967" w:rsidRPr="00CF42E8" w:rsidRDefault="00D75967" w:rsidP="00377725">
            <w:pPr>
              <w:rPr>
                <w:rFonts w:ascii="Arial" w:hAnsi="Arial" w:cs="Arial"/>
                <w:sz w:val="24"/>
                <w:szCs w:val="24"/>
              </w:rPr>
            </w:pPr>
            <w:r w:rsidRPr="00CF42E8">
              <w:rPr>
                <w:rFonts w:ascii="Arial" w:hAnsi="Arial" w:cs="Arial"/>
                <w:sz w:val="24"/>
                <w:szCs w:val="24"/>
              </w:rPr>
              <w:t>Co-ordinated/Joint Local Development Frameworks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SHMAs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tc>
        <w:tc>
          <w:tcPr>
            <w:tcW w:w="2835" w:type="dxa"/>
          </w:tcPr>
          <w:p w:rsidR="00D75967" w:rsidRPr="00CF42E8" w:rsidRDefault="00D75967" w:rsidP="00377725">
            <w:pPr>
              <w:rPr>
                <w:rFonts w:ascii="Arial" w:hAnsi="Arial" w:cs="Arial"/>
                <w:sz w:val="24"/>
                <w:szCs w:val="24"/>
              </w:rPr>
            </w:pPr>
            <w:r w:rsidRPr="00CF42E8">
              <w:rPr>
                <w:rFonts w:ascii="Arial" w:hAnsi="Arial" w:cs="Arial"/>
                <w:sz w:val="24"/>
                <w:szCs w:val="24"/>
              </w:rPr>
              <w:t>Co-ordinated/Joint Local Development Frameworks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Transport Masterplans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Lancashire Strategic Transport Prospectus*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tc>
        <w:tc>
          <w:tcPr>
            <w:tcW w:w="2835" w:type="dxa"/>
          </w:tcPr>
          <w:p w:rsidR="00D75967" w:rsidRPr="00CF42E8" w:rsidRDefault="00D75967" w:rsidP="00377725">
            <w:pPr>
              <w:rPr>
                <w:rFonts w:ascii="Arial" w:hAnsi="Arial" w:cs="Arial"/>
                <w:sz w:val="24"/>
                <w:szCs w:val="24"/>
              </w:rPr>
            </w:pPr>
            <w:r w:rsidRPr="00CF42E8">
              <w:rPr>
                <w:rFonts w:ascii="Arial" w:hAnsi="Arial" w:cs="Arial"/>
                <w:sz w:val="24"/>
                <w:szCs w:val="24"/>
              </w:rPr>
              <w:t>Co-ordinated/Joint Local Development Frameworks</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Strategic Economic Plan*</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tc>
        <w:tc>
          <w:tcPr>
            <w:tcW w:w="2835" w:type="dxa"/>
          </w:tcPr>
          <w:p w:rsidR="00D75967" w:rsidRPr="00CF42E8" w:rsidRDefault="00D75967" w:rsidP="00377725">
            <w:pPr>
              <w:rPr>
                <w:rFonts w:ascii="Arial" w:hAnsi="Arial" w:cs="Arial"/>
                <w:sz w:val="24"/>
                <w:szCs w:val="24"/>
              </w:rPr>
            </w:pPr>
            <w:r w:rsidRPr="00CF42E8">
              <w:rPr>
                <w:rFonts w:ascii="Arial" w:hAnsi="Arial" w:cs="Arial"/>
                <w:sz w:val="24"/>
                <w:szCs w:val="24"/>
              </w:rPr>
              <w:t>STP</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Community Safety Strategy</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Domestic Violence Strategy</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Early Intervention/ Prevention Place</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r w:rsidRPr="00CF42E8">
              <w:rPr>
                <w:rFonts w:ascii="Arial" w:hAnsi="Arial" w:cs="Arial"/>
                <w:sz w:val="24"/>
                <w:szCs w:val="24"/>
              </w:rPr>
              <w:t>JSNA</w:t>
            </w: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p w:rsidR="00D75967" w:rsidRPr="00CF42E8" w:rsidRDefault="00D75967" w:rsidP="00377725">
            <w:pPr>
              <w:rPr>
                <w:rFonts w:ascii="Arial" w:hAnsi="Arial" w:cs="Arial"/>
                <w:sz w:val="24"/>
                <w:szCs w:val="24"/>
              </w:rPr>
            </w:pPr>
          </w:p>
        </w:tc>
      </w:tr>
    </w:tbl>
    <w:p w:rsidR="00D75967" w:rsidRDefault="00D75967" w:rsidP="00D75967">
      <w:pPr>
        <w:rPr>
          <w:rFonts w:ascii="Arial" w:hAnsi="Arial" w:cs="Arial"/>
          <w:sz w:val="24"/>
          <w:szCs w:val="24"/>
        </w:rPr>
      </w:pPr>
    </w:p>
    <w:p w:rsidR="00D75967" w:rsidRDefault="00D75967" w:rsidP="00D7596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D474117" wp14:editId="6198F28F">
                <wp:simplePos x="0" y="0"/>
                <wp:positionH relativeFrom="column">
                  <wp:posOffset>-352425</wp:posOffset>
                </wp:positionH>
                <wp:positionV relativeFrom="paragraph">
                  <wp:posOffset>1769745</wp:posOffset>
                </wp:positionV>
                <wp:extent cx="1543050"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30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967" w:rsidRDefault="00D75967" w:rsidP="00D75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474117" id="_x0000_t202" coordsize="21600,21600" o:spt="202" path="m,l,21600r21600,l21600,xe">
                <v:stroke joinstyle="miter"/>
                <v:path gradientshapeok="t" o:connecttype="rect"/>
              </v:shapetype>
              <v:shape id="Text Box 5" o:spid="_x0000_s1026" type="#_x0000_t202" style="position:absolute;margin-left:-27.75pt;margin-top:139.35pt;width:121.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" fillcolor="white [3201]" stroked="f" strokeweight=".5pt">
                <v:textbox>
                  <w:txbxContent>
                    <w:p w:rsidR="00D75967" w:rsidRDefault="00D75967" w:rsidP="00D75967"/>
                  </w:txbxContent>
                </v:textbox>
              </v:shape>
            </w:pict>
          </mc:Fallback>
        </mc:AlternateContent>
      </w:r>
      <w:r w:rsidRPr="00CF42E8">
        <w:rPr>
          <w:rFonts w:ascii="Arial" w:hAnsi="Arial" w:cs="Arial"/>
          <w:sz w:val="24"/>
          <w:szCs w:val="24"/>
        </w:rPr>
        <w:t xml:space="preserve">*shared CA/LEP Strategies (Give consideration to the strategic transport prospectus being a joint strategy, as its strength is the link between transport and growth priorities) </w:t>
      </w:r>
    </w:p>
    <w:p w:rsidR="00D75967" w:rsidRDefault="00D75967" w:rsidP="00D75967">
      <w:pPr>
        <w:rPr>
          <w:rFonts w:ascii="Arial" w:hAnsi="Arial" w:cs="Arial"/>
          <w:sz w:val="24"/>
          <w:szCs w:val="24"/>
        </w:rPr>
      </w:pPr>
    </w:p>
    <w:p w:rsidR="00D75967" w:rsidRPr="000C7FFA" w:rsidRDefault="00D75967" w:rsidP="000C7FFA">
      <w:pPr>
        <w:autoSpaceDE w:val="0"/>
        <w:autoSpaceDN w:val="0"/>
        <w:adjustRightInd w:val="0"/>
        <w:spacing w:after="0" w:line="240" w:lineRule="auto"/>
        <w:rPr>
          <w:rFonts w:ascii="Arial" w:hAnsi="Arial" w:cs="Arial"/>
          <w:b/>
          <w:sz w:val="24"/>
          <w:szCs w:val="24"/>
        </w:rPr>
      </w:pPr>
    </w:p>
    <w:sectPr w:rsidR="00D75967" w:rsidRPr="000C7FFA" w:rsidSect="00BC253D">
      <w:pgSz w:w="16838" w:h="11906" w:orient="landscape"/>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7" w:rsidRPr="00AF41E3" w:rsidRDefault="00D75967" w:rsidP="00AF41E3">
    <w:pPr>
      <w:pStyle w:val="Header"/>
      <w:jc w:val="right"/>
      <w:rPr>
        <w:rFonts w:ascii="Arial" w:hAnsi="Arial" w:cs="Arial"/>
        <w:b/>
        <w:sz w:val="24"/>
        <w:szCs w:val="24"/>
      </w:rPr>
    </w:pPr>
    <w:r>
      <w:rPr>
        <w:rFonts w:ascii="Arial" w:hAnsi="Arial" w:cs="Arial"/>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8"/>
  </w:num>
  <w:num w:numId="6">
    <w:abstractNumId w:val="23"/>
  </w:num>
  <w:num w:numId="7">
    <w:abstractNumId w:val="14"/>
  </w:num>
  <w:num w:numId="8">
    <w:abstractNumId w:val="7"/>
  </w:num>
  <w:num w:numId="9">
    <w:abstractNumId w:val="6"/>
  </w:num>
  <w:num w:numId="10">
    <w:abstractNumId w:val="10"/>
  </w:num>
  <w:num w:numId="11">
    <w:abstractNumId w:val="4"/>
  </w:num>
  <w:num w:numId="12">
    <w:abstractNumId w:val="22"/>
  </w:num>
  <w:num w:numId="13">
    <w:abstractNumId w:val="15"/>
  </w:num>
  <w:num w:numId="14">
    <w:abstractNumId w:val="17"/>
  </w:num>
  <w:num w:numId="15">
    <w:abstractNumId w:val="16"/>
  </w:num>
  <w:num w:numId="16">
    <w:abstractNumId w:val="2"/>
  </w:num>
  <w:num w:numId="17">
    <w:abstractNumId w:val="1"/>
  </w:num>
  <w:num w:numId="18">
    <w:abstractNumId w:val="9"/>
  </w:num>
  <w:num w:numId="19">
    <w:abstractNumId w:val="30"/>
  </w:num>
  <w:num w:numId="20">
    <w:abstractNumId w:val="29"/>
  </w:num>
  <w:num w:numId="21">
    <w:abstractNumId w:val="26"/>
  </w:num>
  <w:num w:numId="22">
    <w:abstractNumId w:val="5"/>
  </w:num>
  <w:num w:numId="23">
    <w:abstractNumId w:val="28"/>
  </w:num>
  <w:num w:numId="24">
    <w:abstractNumId w:val="24"/>
  </w:num>
  <w:num w:numId="25">
    <w:abstractNumId w:val="25"/>
  </w:num>
  <w:num w:numId="26">
    <w:abstractNumId w:val="19"/>
  </w:num>
  <w:num w:numId="27">
    <w:abstractNumId w:val="21"/>
  </w:num>
  <w:num w:numId="28">
    <w:abstractNumId w:val="27"/>
  </w:num>
  <w:num w:numId="29">
    <w:abstractNumId w:val="11"/>
  </w:num>
  <w:num w:numId="30">
    <w:abstractNumId w:val="2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52CB"/>
    <w:rsid w:val="000A7A6F"/>
    <w:rsid w:val="000B7BD4"/>
    <w:rsid w:val="000C2AEF"/>
    <w:rsid w:val="000C405B"/>
    <w:rsid w:val="000C7FFA"/>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4D5F"/>
    <w:rsid w:val="0015533A"/>
    <w:rsid w:val="0015645A"/>
    <w:rsid w:val="001615D2"/>
    <w:rsid w:val="00161D32"/>
    <w:rsid w:val="00163EDB"/>
    <w:rsid w:val="001663E6"/>
    <w:rsid w:val="00166620"/>
    <w:rsid w:val="0017387F"/>
    <w:rsid w:val="00181DA6"/>
    <w:rsid w:val="001864AD"/>
    <w:rsid w:val="00194045"/>
    <w:rsid w:val="001967CB"/>
    <w:rsid w:val="001A4B7B"/>
    <w:rsid w:val="001B02CA"/>
    <w:rsid w:val="001B0D88"/>
    <w:rsid w:val="001D590B"/>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57B5A"/>
    <w:rsid w:val="00361B4F"/>
    <w:rsid w:val="00364FD5"/>
    <w:rsid w:val="00365CCD"/>
    <w:rsid w:val="00370A65"/>
    <w:rsid w:val="00377C7C"/>
    <w:rsid w:val="003800DA"/>
    <w:rsid w:val="00380BC9"/>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5FB5"/>
    <w:rsid w:val="004701E6"/>
    <w:rsid w:val="00472685"/>
    <w:rsid w:val="00472A62"/>
    <w:rsid w:val="00472FAF"/>
    <w:rsid w:val="00481972"/>
    <w:rsid w:val="004A61F7"/>
    <w:rsid w:val="004B38BB"/>
    <w:rsid w:val="004C19F2"/>
    <w:rsid w:val="004D0C6B"/>
    <w:rsid w:val="004D54AF"/>
    <w:rsid w:val="004E5BB0"/>
    <w:rsid w:val="004F4629"/>
    <w:rsid w:val="00500991"/>
    <w:rsid w:val="00507C0C"/>
    <w:rsid w:val="00521005"/>
    <w:rsid w:val="00541AD1"/>
    <w:rsid w:val="00551D99"/>
    <w:rsid w:val="00556400"/>
    <w:rsid w:val="00562292"/>
    <w:rsid w:val="00575253"/>
    <w:rsid w:val="005774B5"/>
    <w:rsid w:val="00585DEA"/>
    <w:rsid w:val="005934CB"/>
    <w:rsid w:val="00594D0D"/>
    <w:rsid w:val="005A1A21"/>
    <w:rsid w:val="005A2272"/>
    <w:rsid w:val="005B0A82"/>
    <w:rsid w:val="005B14B5"/>
    <w:rsid w:val="005B39E7"/>
    <w:rsid w:val="005C4A41"/>
    <w:rsid w:val="005D3F2F"/>
    <w:rsid w:val="005D4785"/>
    <w:rsid w:val="005D48BA"/>
    <w:rsid w:val="005D70F0"/>
    <w:rsid w:val="005E2CDA"/>
    <w:rsid w:val="00604825"/>
    <w:rsid w:val="006053FD"/>
    <w:rsid w:val="00605BB2"/>
    <w:rsid w:val="00614A0B"/>
    <w:rsid w:val="00620C03"/>
    <w:rsid w:val="00621042"/>
    <w:rsid w:val="00625BEC"/>
    <w:rsid w:val="00641BAD"/>
    <w:rsid w:val="006477C4"/>
    <w:rsid w:val="00652C71"/>
    <w:rsid w:val="006537D1"/>
    <w:rsid w:val="006566E7"/>
    <w:rsid w:val="006628BA"/>
    <w:rsid w:val="006735B1"/>
    <w:rsid w:val="006874B1"/>
    <w:rsid w:val="00691DAE"/>
    <w:rsid w:val="00694D16"/>
    <w:rsid w:val="00696192"/>
    <w:rsid w:val="006C5342"/>
    <w:rsid w:val="006D204A"/>
    <w:rsid w:val="006D23C3"/>
    <w:rsid w:val="006D7D1C"/>
    <w:rsid w:val="006E1F95"/>
    <w:rsid w:val="006E5308"/>
    <w:rsid w:val="006E784A"/>
    <w:rsid w:val="006F75AA"/>
    <w:rsid w:val="00731A30"/>
    <w:rsid w:val="0073681F"/>
    <w:rsid w:val="00744EAE"/>
    <w:rsid w:val="00747983"/>
    <w:rsid w:val="00754E33"/>
    <w:rsid w:val="0075743A"/>
    <w:rsid w:val="007642E3"/>
    <w:rsid w:val="00766418"/>
    <w:rsid w:val="00767F03"/>
    <w:rsid w:val="00772E22"/>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749CA"/>
    <w:rsid w:val="00875E06"/>
    <w:rsid w:val="008C114E"/>
    <w:rsid w:val="008C2291"/>
    <w:rsid w:val="008C6CB5"/>
    <w:rsid w:val="008D58E6"/>
    <w:rsid w:val="008E1F86"/>
    <w:rsid w:val="008F007D"/>
    <w:rsid w:val="009168A3"/>
    <w:rsid w:val="00923E94"/>
    <w:rsid w:val="00932FEE"/>
    <w:rsid w:val="00935034"/>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A0008A"/>
    <w:rsid w:val="00A00E97"/>
    <w:rsid w:val="00A0223E"/>
    <w:rsid w:val="00A0384B"/>
    <w:rsid w:val="00A162C9"/>
    <w:rsid w:val="00A204DF"/>
    <w:rsid w:val="00A2095C"/>
    <w:rsid w:val="00A24CEC"/>
    <w:rsid w:val="00A3299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AF266E"/>
    <w:rsid w:val="00B05EE9"/>
    <w:rsid w:val="00B10ED5"/>
    <w:rsid w:val="00B20252"/>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A2875"/>
    <w:rsid w:val="00BB4B83"/>
    <w:rsid w:val="00BB7B8F"/>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83263"/>
    <w:rsid w:val="00CB45E8"/>
    <w:rsid w:val="00CC1F1B"/>
    <w:rsid w:val="00CE1056"/>
    <w:rsid w:val="00CE65BC"/>
    <w:rsid w:val="00CE7969"/>
    <w:rsid w:val="00CF0167"/>
    <w:rsid w:val="00CF08BE"/>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5967"/>
    <w:rsid w:val="00D77F80"/>
    <w:rsid w:val="00D927CE"/>
    <w:rsid w:val="00DA38B8"/>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36CBE"/>
    <w:rsid w:val="00E40AB5"/>
    <w:rsid w:val="00E41A63"/>
    <w:rsid w:val="00E45485"/>
    <w:rsid w:val="00E530A4"/>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styleId="PlainText">
    <w:name w:val="Plain Text"/>
    <w:basedOn w:val="Normal"/>
    <w:link w:val="PlainTextChar"/>
    <w:uiPriority w:val="99"/>
    <w:semiHidden/>
    <w:unhideWhenUsed/>
    <w:rsid w:val="00D75967"/>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D75967"/>
    <w:rPr>
      <w:rFonts w:ascii="Calibri" w:eastAsiaTheme="minorEastAsia" w:hAnsi="Calibri" w:cs="Times New Roman"/>
      <w:szCs w:val="21"/>
      <w:lang w:eastAsia="en-GB"/>
    </w:rPr>
  </w:style>
  <w:style w:type="paragraph" w:styleId="Header">
    <w:name w:val="header"/>
    <w:basedOn w:val="Normal"/>
    <w:link w:val="HeaderChar"/>
    <w:uiPriority w:val="99"/>
    <w:unhideWhenUsed/>
    <w:rsid w:val="00D75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DF0E-82DA-405C-8168-782DCF6E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11</cp:revision>
  <dcterms:created xsi:type="dcterms:W3CDTF">2016-07-21T12:14:00Z</dcterms:created>
  <dcterms:modified xsi:type="dcterms:W3CDTF">2016-07-22T09:29:00Z</dcterms:modified>
</cp:coreProperties>
</file>